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12</w:t>
      </w:r>
    </w:p>
    <w:p>
      <w:pPr>
        <w:pStyle w:val="4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支持创建数字经济领域市级产业创新中心项目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资金申报表</w:t>
      </w:r>
    </w:p>
    <w:p>
      <w:pPr>
        <w:pStyle w:val="4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支持创建数字经济领域市级产业创新中心项目基本信息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改建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 扩建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租赁或自有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股份合作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联盟组建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卡脖子技术攻关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产品创新、产业培育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产业领域包括：新一代信息技术、</w:t>
            </w:r>
            <w:r>
              <w:rPr>
                <w:rFonts w:hint="default" w:ascii="Times New Roman" w:hAnsi="Times New Roman" w:cs="Times New Roman"/>
                <w:bCs/>
                <w:sz w:val="24"/>
              </w:rPr>
              <w:t>高端装备制造、新材料、生物、新能源、节能环保等战略性新兴产业。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4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支持创建数字经济领域市级产业创新中心项目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4.运营或管理的项目情况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已建成各创新创业载体项目的运营模式情况、服务机构入驻情况、涉及的产业领域情况、载体经营情况、企业孵化情况等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4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支持创建数字经济领域市级产业创新中心项目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1.产业创新中心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建设项目资金申报表；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企业营业执照；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3.运营主体与区政府签订的履约协议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4.履约协议约定达成目标的相关证明材料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6.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创新中心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入驻企业相关证明材料。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76DE7"/>
    <w:rsid w:val="00B8427B"/>
    <w:rsid w:val="00B90629"/>
    <w:rsid w:val="00B9100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9626A7"/>
    <w:rsid w:val="02E8518B"/>
    <w:rsid w:val="040565E6"/>
    <w:rsid w:val="06D22D31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BF20653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EB2473E"/>
    <w:rsid w:val="3F190BE9"/>
    <w:rsid w:val="3FD352B0"/>
    <w:rsid w:val="40D249E5"/>
    <w:rsid w:val="42C908B3"/>
    <w:rsid w:val="43C231E7"/>
    <w:rsid w:val="43E9391F"/>
    <w:rsid w:val="441B1E83"/>
    <w:rsid w:val="45B418DE"/>
    <w:rsid w:val="467E2880"/>
    <w:rsid w:val="46AB3707"/>
    <w:rsid w:val="47341146"/>
    <w:rsid w:val="4CA34025"/>
    <w:rsid w:val="51AA2B9B"/>
    <w:rsid w:val="52C3781C"/>
    <w:rsid w:val="53733C07"/>
    <w:rsid w:val="53736F01"/>
    <w:rsid w:val="554A31E0"/>
    <w:rsid w:val="55BD291C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3EEE8D"/>
    <w:rsid w:val="6D455482"/>
    <w:rsid w:val="6D8E18E2"/>
    <w:rsid w:val="6E515323"/>
    <w:rsid w:val="6E9F1DD4"/>
    <w:rsid w:val="6EC904BD"/>
    <w:rsid w:val="6F34651C"/>
    <w:rsid w:val="6F905780"/>
    <w:rsid w:val="6FCE1D56"/>
    <w:rsid w:val="700268B5"/>
    <w:rsid w:val="74F3367C"/>
    <w:rsid w:val="76730F7D"/>
    <w:rsid w:val="767E42E7"/>
    <w:rsid w:val="7755241E"/>
    <w:rsid w:val="78A5590E"/>
    <w:rsid w:val="78EE53F7"/>
    <w:rsid w:val="78FE7C82"/>
    <w:rsid w:val="79A37934"/>
    <w:rsid w:val="7AF618D0"/>
    <w:rsid w:val="7BE000DC"/>
    <w:rsid w:val="7CC529E3"/>
    <w:rsid w:val="7CD76745"/>
    <w:rsid w:val="7D8C22BD"/>
    <w:rsid w:val="7EF32B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1270</Words>
  <Characters>1329</Characters>
  <Lines>10</Lines>
  <Paragraphs>2</Paragraphs>
  <TotalTime>0</TotalTime>
  <ScaleCrop>false</ScaleCrop>
  <LinksUpToDate>false</LinksUpToDate>
  <CharactersWithSpaces>1331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虎东</cp:lastModifiedBy>
  <cp:lastPrinted>2021-08-24T12:54:00Z</cp:lastPrinted>
  <dcterms:modified xsi:type="dcterms:W3CDTF">2022-08-01T05:03:48Z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EAE59412BFA94F7790A629AF4C0F6D53</vt:lpwstr>
  </property>
</Properties>
</file>