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jc w:val="left"/>
        <w:textAlignment w:val="auto"/>
        <w:rPr>
          <w:rFonts w:hint="eastAsia" w:ascii="黑体" w:hAnsi="黑体" w:eastAsia="黑体" w:cs="方正粗黑宋简体"/>
          <w:b/>
          <w:bCs/>
          <w:color w:val="auto"/>
          <w:szCs w:val="32"/>
        </w:rPr>
      </w:pPr>
      <w:r>
        <w:rPr>
          <w:rFonts w:hint="eastAsia" w:ascii="黑体" w:hAnsi="黑体" w:eastAsia="黑体" w:cs="方正粗黑宋简体"/>
          <w:b/>
          <w:bCs/>
          <w:color w:val="auto"/>
          <w:szCs w:val="32"/>
        </w:rPr>
        <w:t>附件2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72" w:lineRule="exact"/>
        <w:ind w:firstLine="32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jc w:val="center"/>
        <w:textAlignment w:val="auto"/>
        <w:outlineLvl w:val="0"/>
        <w:rPr>
          <w:rFonts w:hint="eastAsia" w:ascii="方正小标宋_GBK" w:hAnsi="方正粗黑宋简体" w:eastAsia="方正小标宋_GBK" w:cs="方正粗黑宋简体"/>
          <w:color w:val="auto"/>
          <w:sz w:val="44"/>
          <w:szCs w:val="44"/>
        </w:rPr>
      </w:pPr>
      <w:r>
        <w:rPr>
          <w:rFonts w:hint="eastAsia" w:ascii="方正小标宋_GBK" w:hAnsi="方正粗黑宋简体" w:eastAsia="方正小标宋_GBK" w:cs="方正粗黑宋简体"/>
          <w:color w:val="auto"/>
          <w:sz w:val="44"/>
          <w:szCs w:val="44"/>
        </w:rPr>
        <w:t>辽宁省深入推进优质粮食工程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jc w:val="center"/>
        <w:textAlignment w:val="auto"/>
        <w:outlineLvl w:val="0"/>
        <w:rPr>
          <w:rFonts w:hint="eastAsia" w:ascii="方正小标宋_GBK" w:hAnsi="方正粗黑宋简体" w:eastAsia="方正小标宋_GBK" w:cs="方正粗黑宋简体"/>
          <w:color w:val="auto"/>
          <w:sz w:val="44"/>
          <w:szCs w:val="44"/>
        </w:rPr>
      </w:pPr>
      <w:r>
        <w:rPr>
          <w:rFonts w:hint="eastAsia" w:ascii="方正小标宋_GBK" w:hAnsi="方正粗黑宋简体" w:eastAsia="方正小标宋_GBK" w:cs="方正粗黑宋简体"/>
          <w:color w:val="auto"/>
          <w:sz w:val="44"/>
          <w:szCs w:val="44"/>
        </w:rPr>
        <w:t>粮食品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种</w:t>
      </w:r>
      <w:r>
        <w:rPr>
          <w:rFonts w:hint="eastAsia" w:ascii="方正小标宋_GBK" w:hAnsi="MS Mincho" w:eastAsia="方正小标宋_GBK" w:cs="MS Mincho"/>
          <w:color w:val="auto"/>
          <w:sz w:val="44"/>
          <w:szCs w:val="44"/>
        </w:rPr>
        <w:t>品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质</w:t>
      </w:r>
      <w:r>
        <w:rPr>
          <w:rFonts w:hint="eastAsia" w:ascii="方正小标宋_GBK" w:hAnsi="MS Mincho" w:eastAsia="方正小标宋_GBK" w:cs="MS Mincho"/>
          <w:color w:val="auto"/>
          <w:sz w:val="44"/>
          <w:szCs w:val="44"/>
        </w:rPr>
        <w:t>品牌提升行</w:t>
      </w:r>
      <w:r>
        <w:rPr>
          <w:rFonts w:hint="eastAsia" w:ascii="方正小标宋_GBK" w:hAnsi="宋体" w:eastAsia="方正小标宋_GBK" w:cs="宋体"/>
          <w:color w:val="auto"/>
          <w:sz w:val="44"/>
          <w:szCs w:val="44"/>
        </w:rPr>
        <w:t>动实施</w:t>
      </w:r>
      <w:r>
        <w:rPr>
          <w:rFonts w:hint="eastAsia" w:ascii="方正小标宋_GBK" w:hAnsi="方正粗黑宋简体" w:eastAsia="方正小标宋_GBK" w:cs="方正粗黑宋简体"/>
          <w:color w:val="auto"/>
          <w:sz w:val="44"/>
          <w:szCs w:val="44"/>
        </w:rPr>
        <w:t>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720" w:firstLineChars="200"/>
        <w:textAlignment w:val="auto"/>
        <w:rPr>
          <w:rFonts w:ascii="仿宋_GB2312" w:hAnsi="仿宋" w:cs="仿宋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为深入贯彻习近平总书记关于深入推进优质粮食工程、做好粮食市场和流通文章的重要指示精神，认真落实党中央、国务院有关决策部署，根据《财政部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国家粮食和物资储备局关于深入推进优质粮食工程的意见》（财建〔2021〕177号）、《国家粮食和物资储备局关于印发优质粮食工程“六大提升行动”方案的通知》（国粮规〔2021〕236号）、《辽宁省粮食和物资储备局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辽宁省财政厅关于深入推进优质粮食工程的意见》（辽粮发〔2021〕96号）有关要求，依据《国家发展改革委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国家粮食和物资储备局关于印发&lt;粮食等重要农产品仓储设施中央预算内投资专项管理办法&gt;的通知》（发改经贸规〔2021〕568号）有关规定，结合本省实际，制定本方案。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ascii="黑体" w:hAnsi="黑体" w:eastAsia="黑体" w:cs="黑体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ascii="仿宋_GB2312" w:hAnsi="仿宋" w:cs="仿宋"/>
          <w:bCs/>
          <w:color w:val="auto"/>
          <w:spacing w:val="5"/>
          <w:sz w:val="32"/>
          <w:szCs w:val="32"/>
        </w:rPr>
      </w:pPr>
      <w:r>
        <w:rPr>
          <w:rFonts w:hint="eastAsia" w:ascii="仿宋_GB2312" w:hAnsi="仿宋" w:cs="仿宋"/>
          <w:bCs/>
          <w:color w:val="auto"/>
          <w:spacing w:val="5"/>
          <w:sz w:val="32"/>
          <w:szCs w:val="32"/>
        </w:rPr>
        <w:t>以习近平新时代中国特色社会主义思想为指导，立足新发展阶段，贯彻新发展理念，构建新发展格局，推动高质量发展，深入落实国家粮食安全战略、乡村振兴战略和健康中国战略，聚焦</w:t>
      </w:r>
      <w:r>
        <w:rPr>
          <w:rFonts w:ascii="仿宋_GB2312" w:hAnsi="仿宋" w:cs="仿宋"/>
          <w:bCs/>
          <w:color w:val="auto"/>
          <w:spacing w:val="5"/>
          <w:sz w:val="32"/>
          <w:szCs w:val="32"/>
        </w:rPr>
        <w:t>增加绿色优质粮油产品</w:t>
      </w:r>
      <w:r>
        <w:rPr>
          <w:rFonts w:hint="eastAsia" w:ascii="仿宋_GB2312" w:hAnsi="仿宋" w:cs="仿宋"/>
          <w:bCs/>
          <w:color w:val="auto"/>
          <w:spacing w:val="5"/>
          <w:sz w:val="32"/>
          <w:szCs w:val="32"/>
        </w:rPr>
        <w:t>供给</w:t>
      </w:r>
      <w:r>
        <w:rPr>
          <w:rFonts w:ascii="仿宋_GB2312" w:hAnsi="仿宋" w:cs="仿宋"/>
          <w:bCs/>
          <w:color w:val="auto"/>
          <w:spacing w:val="5"/>
          <w:sz w:val="32"/>
          <w:szCs w:val="32"/>
        </w:rPr>
        <w:t>，着力</w:t>
      </w:r>
      <w:r>
        <w:rPr>
          <w:rFonts w:hint="eastAsia" w:ascii="仿宋_GB2312" w:hAnsi="仿宋" w:cs="仿宋"/>
          <w:bCs/>
          <w:color w:val="auto"/>
          <w:spacing w:val="5"/>
          <w:sz w:val="32"/>
          <w:szCs w:val="32"/>
        </w:rPr>
        <w:t>优化粮食供给结构，促进粮油</w:t>
      </w:r>
      <w:r>
        <w:rPr>
          <w:rFonts w:ascii="仿宋_GB2312" w:hAnsi="仿宋" w:cs="仿宋"/>
          <w:bCs/>
          <w:color w:val="auto"/>
          <w:spacing w:val="5"/>
          <w:sz w:val="32"/>
          <w:szCs w:val="32"/>
        </w:rPr>
        <w:t>品质提</w:t>
      </w:r>
      <w:r>
        <w:rPr>
          <w:rFonts w:hint="eastAsia" w:ascii="仿宋_GB2312" w:hAnsi="仿宋" w:cs="仿宋"/>
          <w:bCs/>
          <w:color w:val="auto"/>
          <w:spacing w:val="5"/>
          <w:sz w:val="32"/>
          <w:szCs w:val="32"/>
        </w:rPr>
        <w:t>升，打造优质粮食</w:t>
      </w:r>
      <w:r>
        <w:rPr>
          <w:rFonts w:ascii="仿宋_GB2312" w:hAnsi="仿宋" w:cs="仿宋"/>
          <w:bCs/>
          <w:color w:val="auto"/>
          <w:spacing w:val="5"/>
          <w:sz w:val="32"/>
          <w:szCs w:val="32"/>
        </w:rPr>
        <w:t>品牌，</w:t>
      </w:r>
      <w:r>
        <w:rPr>
          <w:rFonts w:hint="eastAsia" w:ascii="仿宋_GB2312" w:hAnsi="仿宋" w:cs="仿宋"/>
          <w:bCs/>
          <w:color w:val="auto"/>
          <w:spacing w:val="5"/>
          <w:sz w:val="32"/>
          <w:szCs w:val="32"/>
        </w:rPr>
        <w:t>搞活</w:t>
      </w:r>
      <w:r>
        <w:rPr>
          <w:rFonts w:ascii="仿宋_GB2312" w:hAnsi="仿宋" w:cs="仿宋"/>
          <w:bCs/>
          <w:color w:val="auto"/>
          <w:spacing w:val="5"/>
          <w:sz w:val="32"/>
          <w:szCs w:val="32"/>
        </w:rPr>
        <w:t>粮食市场和流通，</w:t>
      </w:r>
      <w:r>
        <w:rPr>
          <w:rFonts w:hint="eastAsia" w:ascii="仿宋_GB2312" w:hAnsi="仿宋" w:cs="仿宋"/>
          <w:bCs/>
          <w:color w:val="auto"/>
          <w:spacing w:val="5"/>
          <w:sz w:val="32"/>
          <w:szCs w:val="32"/>
        </w:rPr>
        <w:t>加快粮食产业创新发展、转型升级、提质增效。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二、总体思路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以增加优质粮食供给、满足消费者高品质多样化需求为目标，深度融合“辽宁好粮油”行动计划，将全省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杂粮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等粮食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加工产业作为重点，扶持一批具有带动效应的优质水稻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杂粮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等粮食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加工龙头骨干企业，推出一批具有影响力的绿色优质粮油品牌，形成产品优质化、全程标准化、营销品牌化的产业格局，打造辽宁优质粮油品牌，推动我省由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粮食生产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大省向粮食产业强省转变。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（一）市场主导、政府引导。</w:t>
      </w:r>
      <w:r>
        <w:rPr>
          <w:rStyle w:val="30"/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充分发挥市场在资源配置中的决定性作用，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增强市场主体活力，</w:t>
      </w:r>
      <w:r>
        <w:rPr>
          <w:rFonts w:hint="eastAsia" w:ascii="仿宋_GB2312" w:hAnsi="仿宋_GB2312" w:cs="仿宋_GB2312"/>
          <w:bCs/>
          <w:color w:val="auto"/>
          <w:spacing w:val="5"/>
          <w:sz w:val="32"/>
          <w:szCs w:val="32"/>
        </w:rPr>
        <w:t>促进资源要素向品种选优、品质提升、品牌打造集聚；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更好</w:t>
      </w:r>
      <w:r>
        <w:rPr>
          <w:rFonts w:ascii="仿宋_GB2312" w:hAnsi="仿宋_GB2312" w:cs="仿宋_GB2312"/>
          <w:color w:val="auto"/>
          <w:spacing w:val="5"/>
          <w:sz w:val="32"/>
          <w:szCs w:val="32"/>
        </w:rPr>
        <w:t>发挥政府政策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扶持和引导</w:t>
      </w:r>
      <w:r>
        <w:rPr>
          <w:rFonts w:ascii="仿宋_GB2312" w:hAnsi="仿宋_GB2312" w:cs="仿宋_GB2312"/>
          <w:color w:val="auto"/>
          <w:spacing w:val="5"/>
          <w:sz w:val="32"/>
          <w:szCs w:val="32"/>
        </w:rPr>
        <w:t>作用，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健全市场监督机制，营造公平竞争的市场环境。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2" w:lineRule="exact"/>
        <w:ind w:firstLine="663" w:firstLineChars="200"/>
        <w:textAlignment w:val="auto"/>
        <w:rPr>
          <w:rFonts w:ascii="楷体_GB2312" w:hAnsi="楷体" w:eastAsia="楷体_GB2312" w:cs="楷体"/>
          <w:b/>
          <w:color w:val="auto"/>
          <w:spacing w:val="5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（二）绿色</w:t>
      </w:r>
      <w:r>
        <w:rPr>
          <w:rFonts w:ascii="楷体_GB2312" w:hAnsi="楷体" w:eastAsia="楷体_GB2312" w:cs="楷体"/>
          <w:b/>
          <w:color w:val="auto"/>
          <w:spacing w:val="5"/>
          <w:sz w:val="32"/>
          <w:szCs w:val="32"/>
        </w:rPr>
        <w:t>导向</w:t>
      </w: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、标准引领。</w:t>
      </w:r>
      <w:r>
        <w:rPr>
          <w:rFonts w:hint="eastAsia" w:ascii="仿宋_GB2312" w:hAnsi="仿宋_GB2312" w:cs="仿宋_GB2312"/>
          <w:bCs/>
          <w:color w:val="auto"/>
          <w:spacing w:val="5"/>
          <w:sz w:val="32"/>
          <w:szCs w:val="32"/>
        </w:rPr>
        <w:t>坚持资源节约、环境友好的绿色理念，完善优质粮油标准，</w:t>
      </w:r>
      <w:r>
        <w:rPr>
          <w:rFonts w:hint="eastAsia" w:ascii="仿宋_GB2312" w:hAnsi="仿宋" w:cs="仿宋"/>
          <w:bCs/>
          <w:color w:val="auto"/>
          <w:spacing w:val="5"/>
          <w:sz w:val="32"/>
          <w:szCs w:val="32"/>
        </w:rPr>
        <w:t>强化标准执行，实施全过程质量监管，提高品质、提升品牌</w:t>
      </w:r>
      <w:r>
        <w:rPr>
          <w:rFonts w:hint="eastAsia" w:ascii="仿宋_GB2312" w:hAnsi="仿宋_GB2312" w:cs="仿宋_GB2312"/>
          <w:bCs/>
          <w:color w:val="auto"/>
          <w:spacing w:val="5"/>
          <w:sz w:val="32"/>
          <w:szCs w:val="32"/>
        </w:rPr>
        <w:t>，更好满足粮油消费升级需要</w:t>
      </w:r>
      <w:r>
        <w:rPr>
          <w:rFonts w:hint="eastAsia" w:ascii="仿宋_GB2312" w:hAnsi="仿宋" w:cs="仿宋"/>
          <w:bCs/>
          <w:color w:val="auto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2" w:lineRule="exact"/>
        <w:ind w:firstLine="663" w:firstLineChars="200"/>
        <w:textAlignment w:val="auto"/>
        <w:rPr>
          <w:rFonts w:hint="eastAsia" w:eastAsia="宋体"/>
          <w:color w:val="auto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（三）抓住关键、突出重点。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抓好“粮头食尾”和“农头工尾”，突出资源整合、特色挖掘、动态管理、信用监管，加强技术创新、标准制定、品质追溯和市场评价，提升粮油品牌市场竞争力，提高粮食产业质量效益。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</w:pPr>
      <w:bookmarkStart w:id="0" w:name="_Hlk70238010"/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三、建设目标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Style w:val="30"/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到2025年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，</w:t>
      </w:r>
      <w:r>
        <w:rPr>
          <w:rStyle w:val="30"/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优质粮食供给更加丰富，粮食品质明显提升，粮食品牌体系更加完善，</w:t>
      </w:r>
      <w:r>
        <w:rPr>
          <w:rStyle w:val="30"/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粮食</w:t>
      </w:r>
      <w:r>
        <w:rPr>
          <w:rStyle w:val="30"/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品牌和营销市场竞争力持续提升</w:t>
      </w:r>
      <w:r>
        <w:rPr>
          <w:rStyle w:val="30"/>
          <w:rFonts w:hint="eastAsia" w:ascii="仿宋_GB2312" w:hAnsi="仿宋_GB2312" w:cs="仿宋_GB2312"/>
          <w:color w:val="auto"/>
          <w:spacing w:val="5"/>
          <w:sz w:val="32"/>
          <w:szCs w:val="32"/>
        </w:rPr>
        <w:t>。</w:t>
      </w:r>
      <w:r>
        <w:rPr>
          <w:rStyle w:val="30"/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结合粮食应急保障工作，</w:t>
      </w:r>
      <w:r>
        <w:rPr>
          <w:rStyle w:val="30"/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建立一批</w:t>
      </w:r>
      <w:r>
        <w:rPr>
          <w:rStyle w:val="30"/>
          <w:rFonts w:ascii="仿宋_GB2312" w:hAnsi="仿宋_GB2312" w:eastAsia="仿宋_GB2312" w:cs="仿宋_GB2312"/>
          <w:color w:val="auto"/>
          <w:spacing w:val="5"/>
          <w:sz w:val="32"/>
          <w:szCs w:val="32"/>
        </w:rPr>
        <w:t>优质粮</w:t>
      </w:r>
      <w:r>
        <w:rPr>
          <w:rStyle w:val="30"/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源基地，完善一批引领优质粮食的相关标准，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培育一批优质粮油品牌</w:t>
      </w:r>
      <w:bookmarkEnd w:id="0"/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，优质粮食增加量</w:t>
      </w:r>
      <w:r>
        <w:rPr>
          <w:rFonts w:hint="eastAsia" w:ascii="仿宋_GB2312" w:hAnsi="仿宋_GB2312" w:cs="仿宋_GB2312"/>
          <w:b w:val="0"/>
          <w:bCs w:val="0"/>
          <w:color w:val="auto"/>
          <w:spacing w:val="5"/>
          <w:sz w:val="32"/>
          <w:szCs w:val="32"/>
        </w:rPr>
        <w:t>年均增长10%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以上。积极推进“好粮油”销售示范点建设，健全线上线下营销体系，加快由“吃得饱”向“吃得好”“吃得营养健康”转变。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、实施主体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84"/>
        <w:textAlignment w:val="auto"/>
        <w:rPr>
          <w:rFonts w:hint="eastAsia" w:ascii="楷体_GB2312" w:hAnsi="仿宋_GB2312" w:eastAsia="楷体_GB2312" w:cs="仿宋_GB2312"/>
          <w:b/>
          <w:color w:val="auto"/>
          <w:spacing w:val="5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auto"/>
          <w:spacing w:val="5"/>
          <w:sz w:val="32"/>
          <w:szCs w:val="32"/>
        </w:rPr>
        <w:t>（一）重点龙头骨干企业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应具备以下条件：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自有土地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具有环评和能评报告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3.具有加工能力；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自有品牌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农业产业化龙头企业；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近</w:t>
      </w:r>
      <w:r>
        <w:rPr>
          <w:rFonts w:hint="default" w:ascii="仿宋_GB2312" w:hAnsi="仿宋_GB2312" w:cs="仿宋_GB2312"/>
          <w:color w:val="auto"/>
          <w:spacing w:val="5"/>
          <w:sz w:val="32"/>
          <w:szCs w:val="32"/>
          <w:lang w:val="en"/>
        </w:rPr>
        <w:t>2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年粮食年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均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销售收入不低于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具有上一年度财务审计报告，除去政策性业务后，企业资产负债率不高于70%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，能足额落实自筹资金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8.信用良好，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近2年没有不良信用记录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无违法违规行为，无产品质量安全事件及安全生产事故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84"/>
        <w:textAlignment w:val="auto"/>
        <w:rPr>
          <w:rFonts w:hint="eastAsia" w:ascii="楷体_GB2312" w:hAnsi="仿宋_GB2312" w:eastAsia="楷体_GB2312" w:cs="仿宋_GB2312"/>
          <w:b/>
          <w:color w:val="auto"/>
          <w:spacing w:val="5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auto"/>
          <w:spacing w:val="5"/>
          <w:sz w:val="32"/>
          <w:szCs w:val="32"/>
        </w:rPr>
        <w:t>（二）示范县（市、区）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84"/>
        <w:textAlignment w:val="auto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应为重点龙头骨干企业项目所在地的县（市、区）人民政府。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ascii="黑体" w:hAnsi="黑体" w:eastAsia="黑体" w:cs="黑体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、实施内容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（一）引导优质粮食种植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cs="仿宋_GB2312"/>
          <w:b/>
          <w:color w:val="auto"/>
          <w:spacing w:val="5"/>
          <w:sz w:val="32"/>
          <w:szCs w:val="32"/>
        </w:rPr>
        <w:t>优化粮食品种结构。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支持市、示范县（市、区）</w:t>
      </w:r>
      <w:r>
        <w:rPr>
          <w:rFonts w:hint="eastAsia" w:cs="仿宋_GB2312"/>
          <w:color w:val="auto"/>
          <w:spacing w:val="5"/>
          <w:sz w:val="32"/>
          <w:szCs w:val="32"/>
        </w:rPr>
        <w:t>以市场需求为导向，引导优选优质品种和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示范</w:t>
      </w:r>
      <w:r>
        <w:rPr>
          <w:rFonts w:hint="eastAsia" w:cs="仿宋_GB2312"/>
          <w:color w:val="auto"/>
          <w:spacing w:val="5"/>
          <w:sz w:val="32"/>
          <w:szCs w:val="32"/>
        </w:rPr>
        <w:t>种植，推广优质品种集中连片种植，调整优化粮食品种结构，促进优质品种和特色品种向优势产区集中，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持续开展优质粮食品质测评，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提升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优质粮食生产水平，</w:t>
      </w:r>
      <w:r>
        <w:rPr>
          <w:rFonts w:hint="eastAsia" w:cs="仿宋_GB2312"/>
          <w:color w:val="auto"/>
          <w:spacing w:val="5"/>
          <w:sz w:val="32"/>
          <w:szCs w:val="32"/>
        </w:rPr>
        <w:t>实现优质、高产、高效、生态、安全相统一。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仿宋_GB2312" w:hAnsi="仿宋_GB2312" w:cs="仿宋_GB2312"/>
          <w:b/>
          <w:strike w:val="0"/>
          <w:dstrike w:val="0"/>
          <w:color w:val="auto"/>
          <w:spacing w:val="5"/>
          <w:sz w:val="32"/>
          <w:szCs w:val="32"/>
        </w:rPr>
      </w:pPr>
      <w:r>
        <w:rPr>
          <w:rFonts w:hint="eastAsia" w:ascii="仿宋_GB2312" w:hAnsi="仿宋_GB2312" w:cs="仿宋_GB2312"/>
          <w:b/>
          <w:strike w:val="0"/>
          <w:dstrike w:val="0"/>
          <w:color w:val="auto"/>
          <w:spacing w:val="5"/>
          <w:sz w:val="32"/>
          <w:szCs w:val="32"/>
        </w:rPr>
        <w:t>推进粮食种植标准化。</w:t>
      </w:r>
      <w:r>
        <w:rPr>
          <w:rFonts w:hint="eastAsia" w:ascii="仿宋_GB2312" w:hAnsi="仿宋_GB2312" w:cs="仿宋_GB2312"/>
          <w:b w:val="0"/>
          <w:bCs/>
          <w:strike w:val="0"/>
          <w:dstrike w:val="0"/>
          <w:color w:val="auto"/>
          <w:spacing w:val="5"/>
          <w:sz w:val="32"/>
          <w:szCs w:val="32"/>
          <w:lang w:eastAsia="zh-CN"/>
        </w:rPr>
        <w:t>充分发挥企业带头作用，</w:t>
      </w:r>
      <w:r>
        <w:rPr>
          <w:rFonts w:hint="eastAsia" w:ascii="仿宋_GB2312" w:hAnsi="仿宋_GB2312" w:cs="仿宋_GB2312"/>
          <w:bCs/>
          <w:strike w:val="0"/>
          <w:dstrike w:val="0"/>
          <w:color w:val="auto"/>
          <w:spacing w:val="5"/>
          <w:sz w:val="32"/>
          <w:szCs w:val="32"/>
        </w:rPr>
        <w:t>推广绿色生产技术，</w:t>
      </w:r>
      <w:r>
        <w:rPr>
          <w:rFonts w:hint="eastAsia" w:ascii="仿宋_GB2312" w:hAnsi="仿宋_GB2312" w:cs="仿宋_GB2312"/>
          <w:bCs/>
          <w:strike w:val="0"/>
          <w:dstrike w:val="0"/>
          <w:color w:val="auto"/>
          <w:spacing w:val="5"/>
          <w:sz w:val="32"/>
          <w:szCs w:val="32"/>
          <w:lang w:eastAsia="zh-CN"/>
        </w:rPr>
        <w:t>倡导优质粮食订单种植，</w:t>
      </w:r>
      <w:r>
        <w:rPr>
          <w:rFonts w:hint="eastAsia" w:ascii="仿宋_GB2312" w:hAnsi="仿宋_GB2312" w:cs="仿宋_GB2312"/>
          <w:bCs/>
          <w:strike w:val="0"/>
          <w:dstrike w:val="0"/>
          <w:color w:val="auto"/>
          <w:spacing w:val="5"/>
          <w:sz w:val="32"/>
          <w:szCs w:val="32"/>
        </w:rPr>
        <w:t>推动实行种植品种、肥水管理、病虫防控、技术指导、机械作业标准化生产，加快转变粮食产业发展方式，促进粮食产能稳定、品质提升、农民增收、效益增加，增强可持续发展能力。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仿宋_GB2312" w:cs="仿宋_GB2312"/>
          <w:b/>
          <w:color w:val="auto"/>
          <w:spacing w:val="5"/>
          <w:sz w:val="32"/>
          <w:szCs w:val="32"/>
        </w:rPr>
        <w:t>建立合作联结机制。</w:t>
      </w:r>
      <w:r>
        <w:rPr>
          <w:rFonts w:hint="eastAsia" w:cs="仿宋_GB2312"/>
          <w:color w:val="auto"/>
          <w:spacing w:val="5"/>
          <w:sz w:val="32"/>
          <w:szCs w:val="32"/>
        </w:rPr>
        <w:t>支持企业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土地流转，</w:t>
      </w:r>
      <w:r>
        <w:rPr>
          <w:rFonts w:hint="eastAsia" w:cs="仿宋_GB2312"/>
          <w:color w:val="auto"/>
          <w:spacing w:val="5"/>
          <w:sz w:val="32"/>
          <w:szCs w:val="32"/>
        </w:rPr>
        <w:t>建设优质粮源基地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，落实“优粮优产”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，</w:t>
      </w:r>
      <w:r>
        <w:rPr>
          <w:rFonts w:hint="eastAsia" w:cs="仿宋_GB2312"/>
          <w:color w:val="auto"/>
          <w:spacing w:val="5"/>
          <w:sz w:val="32"/>
          <w:szCs w:val="32"/>
        </w:rPr>
        <w:t>实施</w:t>
      </w:r>
      <w:r>
        <w:rPr>
          <w:rFonts w:cs="仿宋_GB2312"/>
          <w:color w:val="auto"/>
          <w:spacing w:val="5"/>
          <w:sz w:val="32"/>
          <w:szCs w:val="32"/>
        </w:rPr>
        <w:t>优质</w:t>
      </w:r>
      <w:r>
        <w:rPr>
          <w:rFonts w:hint="eastAsia" w:cs="仿宋_GB2312"/>
          <w:color w:val="auto"/>
          <w:spacing w:val="5"/>
          <w:sz w:val="32"/>
          <w:szCs w:val="32"/>
        </w:rPr>
        <w:t>粮食</w:t>
      </w:r>
      <w:r>
        <w:rPr>
          <w:rFonts w:cs="仿宋_GB2312"/>
          <w:color w:val="auto"/>
          <w:spacing w:val="5"/>
          <w:sz w:val="32"/>
          <w:szCs w:val="32"/>
        </w:rPr>
        <w:t>订单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收购</w:t>
      </w:r>
      <w:r>
        <w:rPr>
          <w:rFonts w:hint="eastAsia" w:cs="仿宋_GB2312"/>
          <w:color w:val="auto"/>
          <w:spacing w:val="5"/>
          <w:sz w:val="32"/>
          <w:szCs w:val="32"/>
        </w:rPr>
        <w:t>，完善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“</w:t>
      </w:r>
      <w:r>
        <w:rPr>
          <w:rFonts w:hint="eastAsia" w:cs="仿宋_GB2312"/>
          <w:color w:val="auto"/>
          <w:spacing w:val="5"/>
          <w:sz w:val="32"/>
          <w:szCs w:val="32"/>
        </w:rPr>
        <w:t>优粮优购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”</w:t>
      </w:r>
      <w:r>
        <w:rPr>
          <w:rFonts w:hint="eastAsia" w:cs="仿宋_GB2312"/>
          <w:color w:val="auto"/>
          <w:spacing w:val="5"/>
          <w:sz w:val="32"/>
          <w:szCs w:val="32"/>
        </w:rPr>
        <w:t>市场化机制，向下游延伸推动全产业链一体化经营。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（二）提升粮油产品品质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仿宋_GB2312" w:hAnsi="楷体" w:cs="楷体"/>
          <w:b/>
          <w:color w:val="auto"/>
          <w:spacing w:val="5"/>
          <w:sz w:val="32"/>
          <w:szCs w:val="32"/>
        </w:rPr>
        <w:t>强化</w:t>
      </w:r>
      <w:r>
        <w:rPr>
          <w:rFonts w:ascii="仿宋_GB2312" w:hAnsi="楷体" w:cs="楷体"/>
          <w:b/>
          <w:color w:val="auto"/>
          <w:spacing w:val="5"/>
          <w:sz w:val="32"/>
          <w:szCs w:val="32"/>
        </w:rPr>
        <w:t>标准引领。</w:t>
      </w:r>
      <w:r>
        <w:rPr>
          <w:rFonts w:hint="eastAsia" w:ascii="仿宋_GB2312" w:hAnsi="黑体" w:cs="仿宋"/>
          <w:color w:val="auto"/>
          <w:sz w:val="32"/>
          <w:szCs w:val="32"/>
        </w:rPr>
        <w:t>加强“辽宁好粮油”标准体系建设，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鼓励因地制宜制定地方标准、团体标准和评价体系，完善粮食</w:t>
      </w:r>
      <w:r>
        <w:rPr>
          <w:rFonts w:ascii="仿宋_GB2312" w:hAnsi="仿宋_GB2312" w:cs="仿宋_GB2312"/>
          <w:color w:val="auto"/>
          <w:spacing w:val="5"/>
          <w:sz w:val="32"/>
          <w:szCs w:val="32"/>
        </w:rPr>
        <w:t>质量标准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体系。持续开展企业标准“领跑者”活动，鼓励企业推行更高质量标准，加快优质粮油产品品质等方面标准的推广实施。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楷体" w:cs="楷体"/>
          <w:b/>
          <w:color w:val="auto"/>
          <w:spacing w:val="5"/>
          <w:sz w:val="32"/>
          <w:szCs w:val="32"/>
        </w:rPr>
        <w:t>推动全链条品质提升。</w:t>
      </w:r>
      <w:r>
        <w:rPr>
          <w:rFonts w:hint="eastAsia" w:ascii="仿宋_GB2312" w:hAnsi="楷体" w:cs="楷体"/>
          <w:bCs/>
          <w:color w:val="auto"/>
          <w:spacing w:val="5"/>
          <w:sz w:val="32"/>
          <w:szCs w:val="32"/>
        </w:rPr>
        <w:t>支持</w:t>
      </w:r>
      <w:r>
        <w:rPr>
          <w:rFonts w:hint="eastAsia" w:ascii="仿宋_GB2312" w:hAnsi="楷体" w:cs="楷体"/>
          <w:bCs/>
          <w:color w:val="auto"/>
          <w:spacing w:val="5"/>
          <w:sz w:val="32"/>
          <w:szCs w:val="32"/>
          <w:lang w:eastAsia="zh-CN"/>
        </w:rPr>
        <w:t>市、示范县（市、区）</w:t>
      </w:r>
      <w:r>
        <w:rPr>
          <w:rFonts w:hint="eastAsia" w:ascii="仿宋_GB2312" w:hAnsi="楷体" w:cs="楷体"/>
          <w:bCs/>
          <w:color w:val="auto"/>
          <w:spacing w:val="5"/>
          <w:sz w:val="32"/>
          <w:szCs w:val="32"/>
        </w:rPr>
        <w:t>立足自然禀赋，推动稻谷、杂粮等谷物全链条多业态融合发展。</w:t>
      </w:r>
      <w:r>
        <w:rPr>
          <w:rFonts w:hint="eastAsia" w:ascii="仿宋_GB2312" w:hAnsi="楷体" w:cs="楷体"/>
          <w:bCs/>
          <w:color w:val="auto"/>
          <w:spacing w:val="5"/>
          <w:sz w:val="32"/>
          <w:szCs w:val="32"/>
          <w:lang w:eastAsia="zh-CN"/>
        </w:rPr>
        <w:t>鼓励分品种分仓分等级储存，实行成品粮低温储存，</w:t>
      </w:r>
      <w:r>
        <w:rPr>
          <w:rFonts w:hint="eastAsia" w:ascii="仿宋_GB2312" w:hAnsi="黑体" w:cs="仿宋"/>
          <w:color w:val="auto"/>
          <w:sz w:val="32"/>
          <w:szCs w:val="32"/>
        </w:rPr>
        <w:t>实现“优粮优储”。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倡导稻谷、杂粮、小麦等粮食适度加工，支持精深加工发展，延长产品链条，提高粮食加工综合利用率，</w:t>
      </w:r>
      <w:r>
        <w:rPr>
          <w:rFonts w:hint="eastAsia" w:ascii="仿宋_GB2312" w:hAnsi="黑体" w:cs="仿宋"/>
          <w:color w:val="auto"/>
          <w:sz w:val="32"/>
          <w:szCs w:val="32"/>
        </w:rPr>
        <w:t>实现“优粮优加”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聚焦</w:t>
      </w:r>
      <w:r>
        <w:rPr>
          <w:rFonts w:hint="eastAsia" w:cs="仿宋_GB2312"/>
          <w:color w:val="auto"/>
          <w:spacing w:val="5"/>
          <w:sz w:val="32"/>
          <w:szCs w:val="32"/>
        </w:rPr>
        <w:t>解决产购储加销各环节品质提升的难点和“卡脖子”问题，推动全链条协同联动，加强全过程品质监测，实现标准化、精细化管理。监督指导</w:t>
      </w:r>
      <w:r>
        <w:rPr>
          <w:rFonts w:cs="仿宋_GB2312"/>
          <w:color w:val="auto"/>
          <w:spacing w:val="5"/>
          <w:sz w:val="32"/>
          <w:szCs w:val="32"/>
        </w:rPr>
        <w:t>粮食生产经营</w:t>
      </w:r>
      <w:r>
        <w:rPr>
          <w:rFonts w:hint="eastAsia" w:cs="仿宋_GB2312"/>
          <w:color w:val="auto"/>
          <w:spacing w:val="5"/>
          <w:sz w:val="32"/>
          <w:szCs w:val="32"/>
        </w:rPr>
        <w:t>者</w:t>
      </w:r>
      <w:r>
        <w:rPr>
          <w:rFonts w:cs="仿宋_GB2312"/>
          <w:color w:val="auto"/>
          <w:spacing w:val="5"/>
          <w:sz w:val="32"/>
          <w:szCs w:val="32"/>
        </w:rPr>
        <w:t>落实主体责任</w:t>
      </w:r>
      <w:r>
        <w:rPr>
          <w:rFonts w:hint="eastAsia" w:cs="仿宋_GB2312"/>
          <w:color w:val="auto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cs="仿宋_GB2312"/>
          <w:b/>
          <w:color w:val="auto"/>
          <w:spacing w:val="5"/>
          <w:sz w:val="32"/>
          <w:szCs w:val="32"/>
        </w:rPr>
        <w:t>丰富</w:t>
      </w:r>
      <w:r>
        <w:rPr>
          <w:rFonts w:cs="仿宋_GB2312"/>
          <w:b/>
          <w:color w:val="auto"/>
          <w:spacing w:val="5"/>
          <w:sz w:val="32"/>
          <w:szCs w:val="32"/>
        </w:rPr>
        <w:t>优质产品供给</w:t>
      </w:r>
      <w:r>
        <w:rPr>
          <w:rFonts w:hint="eastAsia" w:cs="仿宋_GB2312"/>
          <w:b/>
          <w:color w:val="auto"/>
          <w:spacing w:val="5"/>
          <w:sz w:val="32"/>
          <w:szCs w:val="32"/>
        </w:rPr>
        <w:t>。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</w:rPr>
        <w:t>大力发展全谷物等新型营养健康食品，开发优质粮油新产品，增加多元化、定制化、个性化产品供给。推进主食制品工业化，积极发展方便米饭、米粥等米制主食品，大力发展馒头、面条（挂面、鲜湿面条）、饺子等各类面制主食品，开发多种杂粮主食制品和功能性食品，提高传统米面和杂粮主食的即食性，保证产品质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（三）加强“好粮油”营销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仿宋_GB2312" w:hAnsi="仿宋_GB2312" w:cs="仿宋_GB2312"/>
          <w:bCs/>
          <w:color w:val="auto"/>
          <w:spacing w:val="5"/>
          <w:sz w:val="32"/>
          <w:szCs w:val="32"/>
        </w:rPr>
      </w:pPr>
      <w:r>
        <w:rPr>
          <w:rFonts w:hint="eastAsia" w:ascii="仿宋_GB2312" w:hAnsi="楷体" w:cs="楷体"/>
          <w:b/>
          <w:color w:val="auto"/>
          <w:spacing w:val="5"/>
          <w:sz w:val="32"/>
          <w:szCs w:val="32"/>
        </w:rPr>
        <w:t>开展营销推介。</w:t>
      </w:r>
      <w:r>
        <w:rPr>
          <w:rFonts w:hint="eastAsia" w:ascii="仿宋_GB2312" w:hAnsi="黑体" w:cs="仿宋"/>
          <w:color w:val="auto"/>
          <w:sz w:val="32"/>
          <w:szCs w:val="32"/>
        </w:rPr>
        <w:t>支持“辽宁好粮油”企业和脱贫地区特色粮食企业参加中国粮食交易大会、国际粮油展等展会，</w:t>
      </w:r>
      <w:r>
        <w:rPr>
          <w:rFonts w:hint="eastAsia" w:ascii="仿宋_GB2312" w:hAnsi="仿宋_GB2312" w:cs="仿宋_GB2312"/>
          <w:bCs/>
          <w:color w:val="auto"/>
          <w:spacing w:val="5"/>
          <w:sz w:val="32"/>
          <w:szCs w:val="32"/>
        </w:rPr>
        <w:t>开展大范围、高频度、多渠道推介和营销，促进产销深度融合。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仿宋_GB2312" w:hAnsi="楷体" w:cs="楷体"/>
          <w:color w:val="auto"/>
          <w:spacing w:val="5"/>
          <w:sz w:val="32"/>
          <w:szCs w:val="32"/>
        </w:rPr>
      </w:pPr>
      <w:r>
        <w:rPr>
          <w:rFonts w:hint="eastAsia" w:ascii="仿宋_GB2312" w:hAnsi="楷体" w:cs="楷体"/>
          <w:b/>
          <w:color w:val="auto"/>
          <w:spacing w:val="5"/>
          <w:sz w:val="32"/>
          <w:szCs w:val="32"/>
        </w:rPr>
        <w:t>完善营销网络。</w:t>
      </w:r>
      <w:r>
        <w:rPr>
          <w:rFonts w:hint="eastAsia" w:ascii="仿宋_GB2312" w:hAnsi="黑体" w:cs="仿宋"/>
          <w:color w:val="auto"/>
          <w:sz w:val="32"/>
          <w:szCs w:val="32"/>
        </w:rPr>
        <w:t>支持企业开展线上、线下营销，设立线下专柜和直营店，促进产销融合，实现“优粮优销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”。</w:t>
      </w:r>
      <w:r>
        <w:rPr>
          <w:rFonts w:hint="eastAsia" w:ascii="仿宋_GB2312" w:hAnsi="黑体" w:cs="仿宋"/>
          <w:color w:val="auto"/>
          <w:sz w:val="32"/>
          <w:szCs w:val="32"/>
        </w:rPr>
        <w:t>完善“辽宁好粮油”线上交易平台</w:t>
      </w:r>
      <w:r>
        <w:rPr>
          <w:rFonts w:hint="eastAsia" w:ascii="仿宋_GB2312" w:hAnsi="仿宋_GB2312" w:cs="仿宋_GB2312"/>
          <w:bCs/>
          <w:color w:val="auto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楷体" w:cs="楷体"/>
          <w:color w:val="auto"/>
          <w:spacing w:val="5"/>
          <w:sz w:val="32"/>
          <w:szCs w:val="32"/>
          <w:lang w:eastAsia="zh-CN"/>
        </w:rPr>
        <w:t>夯实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区域性优质粮食产销合作平台一体化运作的线上交易机制。</w:t>
      </w:r>
      <w:bookmarkStart w:id="1" w:name="_Hlk81952620"/>
      <w:r>
        <w:rPr>
          <w:rFonts w:hint="eastAsia" w:ascii="仿宋_GB2312" w:hAnsi="楷体" w:cs="楷体"/>
          <w:color w:val="auto"/>
          <w:spacing w:val="5"/>
          <w:sz w:val="32"/>
          <w:szCs w:val="32"/>
          <w:lang w:eastAsia="zh-CN"/>
        </w:rPr>
        <w:t>鼓励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依托脱贫地区农副产品网络销售平台（“832平台”）创建“好粮油”产品专区，推介脱贫地区的“中国好粮油”和“辽宁好粮油”产品。依托“好粮油”销售示范点，</w:t>
      </w:r>
      <w:bookmarkEnd w:id="1"/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健全特色优质产品直供直营直销体系。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（四）打造优质粮食品牌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cs="永中宋体"/>
          <w:color w:val="auto"/>
          <w:spacing w:val="5"/>
          <w:sz w:val="32"/>
          <w:szCs w:val="32"/>
        </w:rPr>
      </w:pPr>
      <w:r>
        <w:rPr>
          <w:rFonts w:hint="eastAsia" w:ascii="仿宋_GB2312" w:hAnsi="楷体" w:cs="楷体"/>
          <w:b/>
          <w:color w:val="auto"/>
          <w:spacing w:val="5"/>
          <w:sz w:val="32"/>
          <w:szCs w:val="32"/>
        </w:rPr>
        <w:t>培育“辽宁好粮油”品牌。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持续开展“辽宁好粮油”产品遴选</w:t>
      </w:r>
      <w:r>
        <w:rPr>
          <w:rFonts w:hint="eastAsia" w:ascii="仿宋_GB2312" w:hAnsi="楷体" w:cs="楷体"/>
          <w:color w:val="auto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Cs/>
          <w:color w:val="auto"/>
          <w:spacing w:val="5"/>
          <w:sz w:val="32"/>
          <w:szCs w:val="32"/>
          <w:lang w:eastAsia="zh-CN"/>
        </w:rPr>
        <w:t>遴选出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</w:rPr>
        <w:t>具有地域特色、市场竞争力强、消费者认可的优质粮食产品。</w:t>
      </w:r>
      <w:r>
        <w:rPr>
          <w:rFonts w:hint="eastAsia" w:cs="永中宋体"/>
          <w:color w:val="auto"/>
          <w:spacing w:val="5"/>
          <w:sz w:val="32"/>
          <w:szCs w:val="32"/>
        </w:rPr>
        <w:t>有序推进“中国好粮油”“辽宁好粮油”产品图形证明商标许可使用，逐步推动产品遴选和证明商标合并运行，提高消费者认知度</w:t>
      </w:r>
      <w:bookmarkStart w:id="2" w:name="_Hlk81952015"/>
      <w:r>
        <w:rPr>
          <w:rFonts w:hint="eastAsia" w:cs="永中宋体"/>
          <w:color w:val="auto"/>
          <w:spacing w:val="5"/>
          <w:sz w:val="32"/>
          <w:szCs w:val="32"/>
        </w:rPr>
        <w:t>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hint="eastAsia" w:ascii="仿宋_GB2312" w:hAnsi="楷体" w:cs="楷体"/>
          <w:color w:val="auto"/>
          <w:spacing w:val="5"/>
          <w:sz w:val="32"/>
          <w:szCs w:val="32"/>
        </w:rPr>
      </w:pPr>
      <w:r>
        <w:rPr>
          <w:rFonts w:hint="eastAsia" w:ascii="仿宋_GB2312" w:hAnsi="楷体" w:cs="楷体"/>
          <w:b/>
          <w:color w:val="auto"/>
          <w:spacing w:val="5"/>
          <w:sz w:val="32"/>
          <w:szCs w:val="32"/>
        </w:rPr>
        <w:t>建设品牌体系。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发挥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“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辽宁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好粮油”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企业带动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作用，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推动构建“中国好粮油”—“辽宁好粮油”—企业品牌—产品品牌四位一体的粮油品牌体系。支持</w:t>
      </w:r>
      <w:r>
        <w:rPr>
          <w:rFonts w:hint="eastAsia" w:ascii="仿宋_GB2312" w:hAnsi="楷体" w:cs="楷体"/>
          <w:color w:val="auto"/>
          <w:spacing w:val="5"/>
          <w:sz w:val="32"/>
          <w:szCs w:val="32"/>
          <w:lang w:eastAsia="zh-CN"/>
        </w:rPr>
        <w:t>市、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示范</w:t>
      </w:r>
      <w:r>
        <w:rPr>
          <w:rFonts w:hint="eastAsia" w:ascii="仿宋_GB2312" w:hAnsi="楷体" w:cs="楷体"/>
          <w:color w:val="auto"/>
          <w:spacing w:val="5"/>
          <w:sz w:val="32"/>
          <w:szCs w:val="32"/>
          <w:lang w:eastAsia="zh-CN"/>
        </w:rPr>
        <w:t>县（市、区）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结合自然地理资源禀赋，建设区域公共品牌。鼓励企业提升科技研发和质量管控水平，深挖产品特性内涵，培育一批具有辨识度、知名度和美誉度的产品品牌和企业品牌，提升市场竞争力。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3" w:firstLineChars="200"/>
        <w:textAlignment w:val="auto"/>
        <w:rPr>
          <w:rFonts w:ascii="仿宋_GB2312" w:cs="永中宋体"/>
          <w:color w:val="auto"/>
          <w:spacing w:val="5"/>
          <w:sz w:val="32"/>
          <w:szCs w:val="32"/>
        </w:rPr>
      </w:pPr>
      <w:r>
        <w:rPr>
          <w:rFonts w:hint="eastAsia" w:ascii="仿宋_GB2312" w:hAnsi="楷体" w:cs="楷体"/>
          <w:b/>
          <w:color w:val="auto"/>
          <w:spacing w:val="5"/>
          <w:sz w:val="32"/>
          <w:szCs w:val="32"/>
        </w:rPr>
        <w:t>维护品牌信誉。</w:t>
      </w:r>
      <w:r>
        <w:rPr>
          <w:rFonts w:hint="eastAsia" w:ascii="仿宋_GB2312" w:cs="永中宋体"/>
          <w:color w:val="auto"/>
          <w:spacing w:val="5"/>
          <w:sz w:val="32"/>
          <w:szCs w:val="32"/>
        </w:rPr>
        <w:t>结合“中国好粮油”“辽宁好粮油”产品遴选，严把产品准入关，确保质量过硬。建立动态管理和退出机制，维护产品质量和品牌信誉。</w:t>
      </w:r>
      <w:r>
        <w:rPr>
          <w:rFonts w:hint="eastAsia" w:ascii="仿宋_GB2312" w:cs="永中宋体"/>
          <w:color w:val="auto"/>
          <w:spacing w:val="5"/>
          <w:sz w:val="32"/>
          <w:szCs w:val="32"/>
          <w:lang w:eastAsia="zh-CN"/>
        </w:rPr>
        <w:t>鼓励市、示范县（市、区）</w:t>
      </w:r>
      <w:r>
        <w:rPr>
          <w:rFonts w:hint="eastAsia" w:ascii="仿宋_GB2312" w:cs="永中宋体"/>
          <w:color w:val="auto"/>
          <w:spacing w:val="5"/>
          <w:sz w:val="32"/>
          <w:szCs w:val="32"/>
        </w:rPr>
        <w:t>开展地理标志、品质证明商标注册工作，规范标志使用规则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，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维护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良好市场秩序</w:t>
      </w:r>
      <w:r>
        <w:rPr>
          <w:rFonts w:hint="eastAsia" w:ascii="仿宋_GB2312" w:cs="永中宋体"/>
          <w:color w:val="auto"/>
          <w:spacing w:val="5"/>
          <w:sz w:val="32"/>
          <w:szCs w:val="32"/>
        </w:rPr>
        <w:t>，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营造品牌建设良好环境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。</w:t>
      </w:r>
      <w:r>
        <w:rPr>
          <w:rFonts w:hint="eastAsia" w:ascii="仿宋_GB2312" w:cs="永中宋体"/>
          <w:color w:val="auto"/>
          <w:spacing w:val="5"/>
          <w:sz w:val="32"/>
          <w:szCs w:val="32"/>
        </w:rPr>
        <w:t>加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大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粮食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品牌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知识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产权</w:t>
      </w:r>
      <w:r>
        <w:rPr>
          <w:rFonts w:ascii="仿宋_GB2312" w:hAnsi="楷体" w:cs="楷体"/>
          <w:color w:val="auto"/>
          <w:spacing w:val="5"/>
          <w:sz w:val="32"/>
          <w:szCs w:val="32"/>
        </w:rPr>
        <w:t>保护力度</w:t>
      </w:r>
      <w:r>
        <w:rPr>
          <w:rFonts w:hint="eastAsia" w:ascii="仿宋_GB2312" w:hAnsi="楷体" w:cs="楷体"/>
          <w:color w:val="auto"/>
          <w:spacing w:val="5"/>
          <w:sz w:val="32"/>
          <w:szCs w:val="32"/>
        </w:rPr>
        <w:t>，提高维护行业品牌的意识和能力。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63" w:firstLineChars="200"/>
        <w:textAlignment w:val="auto"/>
        <w:rPr>
          <w:rFonts w:ascii="仿宋_GB2312" w:hAnsi="仿宋_GB2312" w:cs="仿宋_GB2312"/>
          <w:bCs/>
          <w:color w:val="auto"/>
          <w:spacing w:val="5"/>
          <w:sz w:val="32"/>
          <w:szCs w:val="32"/>
        </w:rPr>
      </w:pPr>
      <w:r>
        <w:rPr>
          <w:rFonts w:hint="eastAsia" w:ascii="仿宋_GB2312" w:hAnsi="楷体" w:eastAsia="仿宋_GB2312" w:cs="楷体"/>
          <w:b/>
          <w:color w:val="auto"/>
          <w:spacing w:val="5"/>
          <w:kern w:val="2"/>
          <w:sz w:val="32"/>
          <w:szCs w:val="32"/>
          <w:lang w:val="en-US" w:eastAsia="zh-CN" w:bidi="ar-SA"/>
        </w:rPr>
        <w:t>加强品牌宣传。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  <w:lang w:eastAsia="zh-CN"/>
        </w:rPr>
        <w:t>“中国好粮油”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</w:rPr>
        <w:t>“辽宁好粮油”产品宣传力度，支持企业开展企业品牌建设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</w:rPr>
        <w:t>支持利用交易会、推介会、报刊、电视、广播、互联网、城市地标、高速公路、铁路等载体进行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  <w:lang w:eastAsia="zh-CN"/>
        </w:rPr>
        <w:t>品牌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</w:rPr>
        <w:t>宣传，提高辽宁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</w:rPr>
        <w:t>粮油产品知名度和社会影响力，扩大辽宁粮油产品市场份额，提升辽宁粮食品牌附加值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</w:rPr>
        <w:t>形成“中国好粮油”、“辽宁好粮油”、企业品牌和产品品牌四位一体宣传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  <w:lang w:eastAsia="zh-CN"/>
        </w:rPr>
        <w:t>新模式</w:t>
      </w:r>
      <w:r>
        <w:rPr>
          <w:rFonts w:hint="eastAsia" w:ascii="仿宋_GB2312" w:hAnsi="仿宋_GB2312" w:eastAsia="仿宋_GB2312" w:cs="仿宋_GB2312"/>
          <w:bCs/>
          <w:color w:val="auto"/>
          <w:spacing w:val="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六、职责分工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739" w:firstLineChars="23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color w:val="auto"/>
          <w:sz w:val="32"/>
          <w:szCs w:val="32"/>
        </w:rPr>
        <w:t>（一）省粮食和物资储备部门。</w:t>
      </w:r>
      <w:r>
        <w:rPr>
          <w:rFonts w:hint="eastAsia" w:ascii="仿宋_GB2312" w:hAnsi="黑体" w:cs="仿宋"/>
          <w:color w:val="auto"/>
          <w:sz w:val="32"/>
          <w:szCs w:val="32"/>
        </w:rPr>
        <w:t>制定全省实施方案，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组织方案备案工作</w:t>
      </w:r>
      <w:r>
        <w:rPr>
          <w:rFonts w:hint="eastAsia" w:ascii="仿宋_GB2312" w:hAnsi="黑体" w:cs="仿宋"/>
          <w:color w:val="auto"/>
          <w:sz w:val="32"/>
          <w:szCs w:val="32"/>
        </w:rPr>
        <w:t>，制定绩效评价考核指标体系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，开展监督检查等工作。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739" w:firstLineChars="230"/>
        <w:textAlignment w:val="auto"/>
        <w:rPr>
          <w:rFonts w:hint="eastAsia" w:ascii="仿宋_GB2312" w:hAnsi="黑体" w:cs="仿宋"/>
          <w:color w:val="auto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auto"/>
          <w:sz w:val="32"/>
          <w:szCs w:val="32"/>
        </w:rPr>
        <w:t>（二）</w:t>
      </w:r>
      <w:r>
        <w:rPr>
          <w:rFonts w:hint="eastAsia" w:ascii="楷体_GB2312" w:hAnsi="仿宋" w:eastAsia="楷体_GB2312" w:cs="仿宋"/>
          <w:b/>
          <w:color w:val="auto"/>
          <w:sz w:val="32"/>
          <w:szCs w:val="32"/>
          <w:lang w:eastAsia="zh-CN"/>
        </w:rPr>
        <w:t>市</w:t>
      </w:r>
      <w:r>
        <w:rPr>
          <w:rFonts w:hint="eastAsia" w:ascii="楷体_GB2312" w:hAnsi="仿宋" w:eastAsia="楷体_GB2312" w:cs="仿宋"/>
          <w:b/>
          <w:color w:val="auto"/>
          <w:sz w:val="32"/>
          <w:szCs w:val="32"/>
        </w:rPr>
        <w:t>粮食和物资储备部门。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编制全市实施方案，对方案的准确性、真实性、可实施性负责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强化项目审核把关，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项目评审和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，组织项目监督检查、资金管理、绩效评价、项目验收等工作，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指导示范县（市、区）编制实施方案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引导</w:t>
      </w:r>
      <w:r>
        <w:rPr>
          <w:rFonts w:hint="eastAsia" w:ascii="仿宋_GB2312" w:hAnsi="仿宋_GB2312" w:cs="仿宋_GB2312"/>
          <w:color w:val="auto"/>
          <w:spacing w:val="5"/>
          <w:sz w:val="32"/>
          <w:szCs w:val="32"/>
          <w:lang w:eastAsia="zh-CN"/>
        </w:rPr>
        <w:t>区域内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优质粮食种植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，优化粮食品种结构，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保障优质粮食品质，提升区域内优质粮食销售，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开展区域内优质粮食品质测评工作，推动区域内粮食产业落实“五优联动”，加强区域公共品牌宣传推广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739" w:firstLineChars="230"/>
        <w:textAlignment w:val="auto"/>
        <w:rPr>
          <w:rFonts w:hint="eastAsia" w:ascii="仿宋_GB2312" w:hAnsi="黑体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color w:val="auto"/>
          <w:sz w:val="32"/>
          <w:szCs w:val="32"/>
        </w:rPr>
        <w:t>（三）示范县（市、区）。</w:t>
      </w:r>
      <w:r>
        <w:rPr>
          <w:rFonts w:hint="eastAsia" w:ascii="仿宋_GB2312" w:hAnsi="仿宋" w:cs="仿宋"/>
          <w:color w:val="auto"/>
          <w:sz w:val="32"/>
          <w:szCs w:val="32"/>
        </w:rPr>
        <w:t>示范县人民政府</w:t>
      </w:r>
      <w:r>
        <w:rPr>
          <w:rFonts w:hint="eastAsia" w:ascii="仿宋_GB2312" w:hAnsi="黑体" w:cs="仿宋"/>
          <w:color w:val="auto"/>
          <w:sz w:val="32"/>
          <w:szCs w:val="32"/>
        </w:rPr>
        <w:t>负责编制县（市、区）级实施方案，对方案的准确性、真实性、可实施性负责。</w:t>
      </w: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负责区域内重点龙头骨干企业项目申报工作，</w:t>
      </w:r>
      <w:r>
        <w:rPr>
          <w:rFonts w:hint="eastAsia" w:ascii="仿宋_GB2312" w:hAnsi="黑体" w:cs="仿宋"/>
          <w:color w:val="auto"/>
          <w:sz w:val="32"/>
          <w:szCs w:val="32"/>
        </w:rPr>
        <w:t>通过竞争性评审方式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，遴选区域内重点龙头骨干企业，</w:t>
      </w:r>
      <w:r>
        <w:rPr>
          <w:rFonts w:hint="eastAsia" w:ascii="仿宋_GB2312" w:hAnsi="黑体" w:cs="仿宋"/>
          <w:color w:val="auto"/>
          <w:sz w:val="32"/>
          <w:szCs w:val="32"/>
        </w:rPr>
        <w:t>做好公示等工作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cs="仿宋"/>
          <w:color w:val="auto"/>
          <w:sz w:val="32"/>
          <w:szCs w:val="32"/>
        </w:rPr>
        <w:t>指导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重点龙头骨干企业</w:t>
      </w:r>
      <w:r>
        <w:rPr>
          <w:rFonts w:hint="eastAsia" w:ascii="仿宋_GB2312" w:hAnsi="黑体" w:cs="仿宋"/>
          <w:color w:val="auto"/>
          <w:sz w:val="32"/>
          <w:szCs w:val="32"/>
        </w:rPr>
        <w:t>编制实施方案，</w:t>
      </w:r>
      <w:r>
        <w:rPr>
          <w:rFonts w:hint="eastAsia" w:ascii="仿宋_GB2312" w:hAnsi="黑体" w:cs="仿宋"/>
          <w:color w:val="auto"/>
          <w:kern w:val="2"/>
          <w:sz w:val="32"/>
          <w:szCs w:val="32"/>
          <w:lang w:val="en-US" w:eastAsia="zh-CN" w:bidi="ar-SA"/>
        </w:rPr>
        <w:t>组织</w:t>
      </w: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区域内项目的实施指导、监督检查、</w:t>
      </w:r>
      <w:r>
        <w:rPr>
          <w:rFonts w:hint="eastAsia" w:ascii="仿宋_GB2312" w:hAnsi="黑体" w:cs="仿宋"/>
          <w:color w:val="auto"/>
          <w:kern w:val="2"/>
          <w:sz w:val="32"/>
          <w:szCs w:val="32"/>
          <w:lang w:val="en-US" w:eastAsia="zh-CN" w:bidi="ar-SA"/>
        </w:rPr>
        <w:t>资金管理</w:t>
      </w: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等工作，协调本级财政部门及时拨付补助资金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。</w:t>
      </w:r>
      <w:r>
        <w:rPr>
          <w:rFonts w:hint="eastAsia" w:cs="仿宋_GB2312"/>
          <w:color w:val="auto"/>
          <w:spacing w:val="5"/>
          <w:sz w:val="32"/>
          <w:szCs w:val="32"/>
        </w:rPr>
        <w:t>引导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区域内优质粮食种植</w:t>
      </w:r>
      <w:r>
        <w:rPr>
          <w:rFonts w:hint="eastAsia" w:cs="仿宋_GB2312"/>
          <w:color w:val="auto"/>
          <w:spacing w:val="5"/>
          <w:sz w:val="32"/>
          <w:szCs w:val="32"/>
        </w:rPr>
        <w:t>，优化粮食品种结构，</w:t>
      </w:r>
      <w:r>
        <w:rPr>
          <w:rFonts w:hint="eastAsia" w:cs="仿宋_GB2312"/>
          <w:color w:val="auto"/>
          <w:spacing w:val="5"/>
          <w:sz w:val="32"/>
          <w:szCs w:val="32"/>
          <w:lang w:eastAsia="zh-CN"/>
        </w:rPr>
        <w:t>增强优质粮食品质，提升区域内优质粮食销售，</w:t>
      </w:r>
      <w:r>
        <w:rPr>
          <w:rFonts w:hint="eastAsia" w:ascii="仿宋_GB2312" w:hAnsi="黑体" w:cs="仿宋"/>
          <w:b w:val="0"/>
          <w:bCs w:val="0"/>
          <w:color w:val="auto"/>
          <w:sz w:val="32"/>
          <w:szCs w:val="32"/>
          <w:lang w:eastAsia="zh-CN"/>
        </w:rPr>
        <w:t>开展区域内优质粮食品质测评工作，推动区域内粮食产业落实“五优联动”，加强区域公共品牌宣传推广</w:t>
      </w:r>
      <w:r>
        <w:rPr>
          <w:rFonts w:hint="eastAsia" w:ascii="仿宋_GB2312" w:hAnsi="黑体" w:cs="仿宋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739" w:firstLineChars="23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楷体_GB2312" w:hAnsi="仿宋" w:eastAsia="楷体_GB2312" w:cs="仿宋"/>
          <w:b/>
          <w:color w:val="auto"/>
          <w:sz w:val="32"/>
          <w:szCs w:val="32"/>
        </w:rPr>
        <w:t>（四）重点龙头骨干企业。</w:t>
      </w:r>
      <w:r>
        <w:rPr>
          <w:rFonts w:hint="eastAsia" w:ascii="仿宋_GB2312" w:hAnsi="黑体" w:cs="仿宋"/>
          <w:color w:val="auto"/>
          <w:sz w:val="32"/>
          <w:szCs w:val="32"/>
        </w:rPr>
        <w:t>编制企业实施方案，对方案的准确性、真实性、可实施性负责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，做好项目的设计、立项、申报和实施，落实自筹资金，加强财务管理，做好项目</w:t>
      </w:r>
      <w:r>
        <w:rPr>
          <w:rFonts w:hint="eastAsia" w:ascii="仿宋_GB2312" w:hAnsi="黑体" w:cs="仿宋"/>
          <w:sz w:val="32"/>
          <w:szCs w:val="32"/>
          <w:lang w:eastAsia="zh-CN"/>
        </w:rPr>
        <w:t>各项材料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的整理。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eastAsia="zh-CN"/>
        </w:rPr>
        <w:t>七、实施程序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739" w:firstLineChars="23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（一）实施周期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2" w:lineRule="exact"/>
        <w:ind w:firstLine="640" w:firstLineChars="200"/>
        <w:textAlignment w:val="auto"/>
        <w:rPr>
          <w:rFonts w:hint="eastAsia" w:ascii="仿宋_GB2312" w:hAnsi="黑体" w:cs="仿宋"/>
          <w:color w:val="auto"/>
          <w:sz w:val="32"/>
          <w:szCs w:val="32"/>
        </w:rPr>
      </w:pP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本方案实施周期</w:t>
      </w:r>
      <w:r>
        <w:rPr>
          <w:rFonts w:hint="eastAsia" w:ascii="仿宋_GB2312" w:hAnsi="黑体" w:cs="仿宋"/>
          <w:color w:val="auto"/>
          <w:sz w:val="32"/>
          <w:szCs w:val="32"/>
          <w:lang w:val="en-US" w:eastAsia="zh-CN"/>
        </w:rPr>
        <w:t>为2022-2024年度。</w:t>
      </w:r>
      <w:r>
        <w:rPr>
          <w:rFonts w:hint="eastAsia" w:ascii="仿宋_GB2312" w:hAnsi="仿宋_GB2312" w:eastAsia="仿宋_GB2312" w:cs="仿宋_GB2312"/>
          <w:color w:val="auto"/>
          <w:spacing w:val="5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ascii="仿宋_GB2312" w:hAnsi="仿宋_GB2312" w:cs="仿宋_GB2312"/>
          <w:color w:val="auto"/>
          <w:spacing w:val="5"/>
          <w:kern w:val="2"/>
          <w:sz w:val="32"/>
          <w:szCs w:val="32"/>
          <w:lang w:val="en-US" w:eastAsia="zh-CN" w:bidi="ar-SA"/>
        </w:rPr>
        <w:t>度已开工建设，符合本方案实施内容和主体标准且</w:t>
      </w:r>
      <w:r>
        <w:rPr>
          <w:rFonts w:hint="eastAsia" w:ascii="仿宋_GB2312" w:hAnsi="仿宋_GB2312" w:eastAsia="仿宋_GB2312" w:cs="仿宋_GB2312"/>
          <w:color w:val="auto"/>
          <w:spacing w:val="5"/>
          <w:kern w:val="2"/>
          <w:sz w:val="32"/>
          <w:szCs w:val="32"/>
          <w:lang w:val="en-US" w:eastAsia="zh-CN" w:bidi="ar-SA"/>
        </w:rPr>
        <w:t>实际完成投资比例未超过70%</w:t>
      </w:r>
      <w:r>
        <w:rPr>
          <w:rFonts w:hint="eastAsia" w:ascii="仿宋_GB2312" w:hAnsi="仿宋_GB2312" w:cs="仿宋_GB2312"/>
          <w:color w:val="auto"/>
          <w:spacing w:val="5"/>
          <w:kern w:val="2"/>
          <w:sz w:val="32"/>
          <w:szCs w:val="32"/>
          <w:lang w:val="en-US" w:eastAsia="zh-CN" w:bidi="ar-SA"/>
        </w:rPr>
        <w:t>，依法获得审批（核准、备案）和相关前期手续，未获得其他形式补助资金的仓储设施或设备类建设项目可</w:t>
      </w:r>
      <w:r>
        <w:rPr>
          <w:rFonts w:hint="eastAsia" w:ascii="仿宋_GB2312" w:hAnsi="仿宋_GB2312" w:eastAsia="仿宋_GB2312" w:cs="仿宋_GB2312"/>
          <w:color w:val="auto"/>
          <w:spacing w:val="5"/>
          <w:kern w:val="2"/>
          <w:sz w:val="32"/>
          <w:szCs w:val="32"/>
          <w:lang w:val="en-US" w:eastAsia="zh-CN" w:bidi="ar-SA"/>
        </w:rPr>
        <w:t>纳入</w:t>
      </w:r>
      <w:r>
        <w:rPr>
          <w:rFonts w:hint="eastAsia" w:ascii="仿宋_GB2312" w:hAnsi="仿宋_GB2312" w:cs="仿宋_GB2312"/>
          <w:color w:val="auto"/>
          <w:spacing w:val="5"/>
          <w:kern w:val="2"/>
          <w:sz w:val="32"/>
          <w:szCs w:val="32"/>
          <w:lang w:val="en-US" w:eastAsia="zh-CN" w:bidi="ar-SA"/>
        </w:rPr>
        <w:t>方案一并实施</w:t>
      </w:r>
      <w:r>
        <w:rPr>
          <w:rFonts w:hint="eastAsia" w:ascii="仿宋_GB2312" w:hAnsi="仿宋_GB2312" w:eastAsia="仿宋_GB2312" w:cs="仿宋_GB2312"/>
          <w:color w:val="auto"/>
          <w:spacing w:val="5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739" w:firstLineChars="230"/>
        <w:textAlignment w:val="auto"/>
        <w:rPr>
          <w:rFonts w:hint="eastAsia" w:ascii="楷体_GB2312" w:hAnsi="仿宋" w:eastAsia="楷体_GB2312" w:cs="仿宋"/>
          <w:b/>
          <w:color w:val="auto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color w:val="auto"/>
          <w:sz w:val="32"/>
          <w:szCs w:val="32"/>
          <w:lang w:eastAsia="zh-CN"/>
        </w:rPr>
        <w:t>（二）方案编制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640" w:firstLineChars="200"/>
        <w:textAlignment w:val="auto"/>
        <w:rPr>
          <w:rFonts w:hint="eastAsia" w:ascii="仿宋_GB2312" w:hAnsi="仿宋" w:cs="仿宋"/>
          <w:color w:val="auto"/>
          <w:sz w:val="32"/>
          <w:szCs w:val="32"/>
        </w:rPr>
      </w:pPr>
      <w:r>
        <w:rPr>
          <w:rFonts w:hint="eastAsia" w:ascii="仿宋_GB2312" w:hAnsi="仿宋" w:cs="仿宋"/>
          <w:color w:val="auto"/>
          <w:sz w:val="32"/>
          <w:szCs w:val="32"/>
        </w:rPr>
        <w:t>各</w:t>
      </w:r>
      <w:r>
        <w:rPr>
          <w:rFonts w:hint="eastAsia" w:ascii="仿宋_GB2312" w:hAnsi="黑体" w:cs="仿宋"/>
          <w:color w:val="auto"/>
          <w:sz w:val="32"/>
          <w:szCs w:val="32"/>
        </w:rPr>
        <w:t>市、示范县（市、区）实施方案要明确提出产业规划、建设目标、绩效目标、建设内容、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分年度实施计划、</w:t>
      </w:r>
      <w:r>
        <w:rPr>
          <w:rFonts w:hint="eastAsia" w:ascii="仿宋_GB2312" w:hAnsi="黑体" w:cs="仿宋"/>
          <w:color w:val="auto"/>
          <w:sz w:val="32"/>
          <w:szCs w:val="32"/>
        </w:rPr>
        <w:t>项目验收、资金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管理</w:t>
      </w:r>
      <w:r>
        <w:rPr>
          <w:rFonts w:hint="eastAsia" w:ascii="仿宋_GB2312" w:hAnsi="黑体" w:cs="仿宋"/>
          <w:color w:val="auto"/>
          <w:sz w:val="32"/>
          <w:szCs w:val="32"/>
        </w:rPr>
        <w:t>、保障措施等内容。企业要深刻领会优质粮食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工程</w:t>
      </w:r>
      <w:r>
        <w:rPr>
          <w:rFonts w:hint="eastAsia" w:ascii="仿宋_GB2312" w:hAnsi="黑体" w:cs="仿宋"/>
          <w:color w:val="auto"/>
          <w:sz w:val="32"/>
          <w:szCs w:val="32"/>
        </w:rPr>
        <w:t>内涵，以提升优质粮食供给水平为核心，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围绕产购储加销各环节，</w:t>
      </w:r>
      <w:r>
        <w:rPr>
          <w:rFonts w:hint="eastAsia" w:ascii="仿宋_GB2312" w:hAnsi="黑体" w:cs="仿宋"/>
          <w:color w:val="auto"/>
          <w:sz w:val="32"/>
          <w:szCs w:val="32"/>
        </w:rPr>
        <w:t>全要素申报项目，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切实</w:t>
      </w:r>
      <w:r>
        <w:rPr>
          <w:rFonts w:hint="eastAsia" w:ascii="仿宋_GB2312" w:hAnsi="黑体" w:cs="仿宋"/>
          <w:color w:val="auto"/>
          <w:sz w:val="32"/>
          <w:szCs w:val="32"/>
        </w:rPr>
        <w:t>形成“五优联动”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全</w:t>
      </w:r>
      <w:r>
        <w:rPr>
          <w:rFonts w:hint="eastAsia" w:ascii="仿宋_GB2312" w:hAnsi="黑体" w:cs="仿宋"/>
          <w:color w:val="auto"/>
          <w:sz w:val="32"/>
          <w:szCs w:val="32"/>
        </w:rPr>
        <w:t>闭环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cs="仿宋"/>
          <w:color w:val="auto"/>
          <w:sz w:val="32"/>
          <w:szCs w:val="32"/>
        </w:rPr>
        <w:t>企业申报材料应包括但不仅限于：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目录、</w:t>
      </w:r>
      <w:r>
        <w:rPr>
          <w:rFonts w:hint="eastAsia" w:ascii="仿宋_GB2312" w:hAnsi="黑体" w:cs="仿宋"/>
          <w:color w:val="auto"/>
          <w:sz w:val="32"/>
          <w:szCs w:val="32"/>
        </w:rPr>
        <w:t>项目申报书、项目规划、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分年度实施计划、</w:t>
      </w:r>
      <w:r>
        <w:rPr>
          <w:rFonts w:hint="eastAsia" w:ascii="仿宋_GB2312" w:hAnsi="黑体" w:cs="仿宋"/>
          <w:color w:val="auto"/>
          <w:sz w:val="32"/>
          <w:szCs w:val="32"/>
        </w:rPr>
        <w:t>项目概算、企业营业执照、法人身份证件复印件、建设项目环评报告、节能评估报告、土地使用证、财务审计报告、自有品牌商标证明、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农业产业化龙头企业资质证明、信用中国证明材料、</w:t>
      </w:r>
      <w:r>
        <w:rPr>
          <w:rFonts w:hint="eastAsia" w:ascii="仿宋_GB2312" w:hAnsi="黑体" w:cs="仿宋"/>
          <w:color w:val="auto"/>
          <w:sz w:val="32"/>
          <w:szCs w:val="32"/>
        </w:rPr>
        <w:t>自有资金保证书、真实性承诺书等材料。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（三）项目申报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736" w:firstLineChars="230"/>
        <w:textAlignment w:val="auto"/>
        <w:rPr>
          <w:rFonts w:hint="default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重点龙头骨干企业按照属地原则向示范县（市、区）粮食和物资储备部门（发展改革部门）申报项目。</w:t>
      </w:r>
      <w:r>
        <w:rPr>
          <w:rFonts w:hint="eastAsia" w:ascii="仿宋_GB2312" w:hAnsi="黑体" w:cs="仿宋"/>
          <w:color w:val="auto"/>
          <w:sz w:val="32"/>
          <w:szCs w:val="32"/>
        </w:rPr>
        <w:t>中央直属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粮食</w:t>
      </w:r>
      <w:r>
        <w:rPr>
          <w:rFonts w:hint="eastAsia" w:ascii="仿宋_GB2312" w:hAnsi="黑体" w:cs="仿宋"/>
          <w:color w:val="auto"/>
          <w:sz w:val="32"/>
          <w:szCs w:val="32"/>
        </w:rPr>
        <w:t>企业和省属粮食企业在各市独立核算的企业纳入所在市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、县（市、区）</w:t>
      </w:r>
      <w:r>
        <w:rPr>
          <w:rFonts w:hint="eastAsia" w:ascii="仿宋_GB2312" w:hAnsi="黑体" w:cs="仿宋"/>
          <w:color w:val="auto"/>
          <w:sz w:val="32"/>
          <w:szCs w:val="32"/>
        </w:rPr>
        <w:t>统一实施。</w:t>
      </w: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各市于</w:t>
      </w:r>
      <w:r>
        <w:rPr>
          <w:rFonts w:hint="default" w:ascii="仿宋_GB2312" w:hAnsi="黑体" w:eastAsia="仿宋_GB2312" w:cs="仿宋"/>
          <w:color w:val="auto"/>
          <w:kern w:val="2"/>
          <w:sz w:val="32"/>
          <w:szCs w:val="32"/>
          <w:lang w:val="en" w:eastAsia="zh-CN" w:bidi="ar-SA"/>
        </w:rPr>
        <w:t>9</w:t>
      </w: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黑体" w:cs="仿宋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0日前将市级方案</w:t>
      </w:r>
      <w:r>
        <w:rPr>
          <w:rFonts w:hint="eastAsia" w:ascii="仿宋_GB2312" w:hAnsi="黑体" w:cs="仿宋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评审意见</w:t>
      </w:r>
      <w:r>
        <w:rPr>
          <w:rFonts w:hint="eastAsia" w:ascii="仿宋_GB2312" w:hAnsi="黑体" w:cs="仿宋"/>
          <w:color w:val="auto"/>
          <w:kern w:val="2"/>
          <w:sz w:val="32"/>
          <w:szCs w:val="32"/>
          <w:lang w:val="en-US" w:eastAsia="zh-CN" w:bidi="ar-SA"/>
        </w:rPr>
        <w:t>、县级方案及项目申报材料等</w:t>
      </w:r>
      <w:r>
        <w:rPr>
          <w:rFonts w:hint="eastAsia" w:ascii="仿宋_GB2312" w:hAnsi="黑体" w:eastAsia="仿宋_GB2312" w:cs="仿宋"/>
          <w:color w:val="auto"/>
          <w:kern w:val="2"/>
          <w:sz w:val="32"/>
          <w:szCs w:val="32"/>
          <w:lang w:val="en-US" w:eastAsia="zh-CN" w:bidi="ar-SA"/>
        </w:rPr>
        <w:t>报省粮食和物资储备部门备案。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72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2"/>
          <w:szCs w:val="32"/>
          <w:lang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663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pacing w:val="5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5"/>
          <w:sz w:val="32"/>
          <w:szCs w:val="32"/>
          <w:lang w:eastAsia="zh-CN"/>
        </w:rPr>
        <w:t>各市</w:t>
      </w:r>
      <w:r>
        <w:rPr>
          <w:rFonts w:hint="eastAsia" w:ascii="仿宋_GB2312" w:hAnsi="仿宋" w:cs="仿宋"/>
          <w:color w:val="auto"/>
          <w:sz w:val="32"/>
          <w:szCs w:val="32"/>
        </w:rPr>
        <w:t>要成立专项工作领导小组，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明确工作职责，做好方案编制。</w:t>
      </w:r>
      <w:r>
        <w:rPr>
          <w:rFonts w:hint="eastAsia" w:ascii="仿宋_GB2312" w:hAnsi="仿宋" w:cs="仿宋"/>
          <w:color w:val="auto"/>
          <w:sz w:val="32"/>
          <w:szCs w:val="32"/>
        </w:rPr>
        <w:t>建立定期调度通报机制，严格执行廉政规定，强化对项目实施过程中关键风险点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" w:cs="仿宋"/>
          <w:color w:val="auto"/>
          <w:sz w:val="32"/>
          <w:szCs w:val="32"/>
        </w:rPr>
        <w:t>监控，加强项目管理，健全项目档案，严禁擅自调整实施方案</w:t>
      </w:r>
      <w:r>
        <w:rPr>
          <w:rFonts w:hint="eastAsia" w:ascii="仿宋_GB2312" w:hAnsi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cs="仿宋"/>
          <w:color w:val="auto"/>
          <w:sz w:val="32"/>
          <w:szCs w:val="32"/>
        </w:rPr>
        <w:t>变更资金用途和建设内容。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643" w:firstLineChars="200"/>
        <w:textAlignment w:val="auto"/>
        <w:rPr>
          <w:rFonts w:hint="eastAsia" w:ascii="仿宋_GB2312" w:hAnsi="仿宋" w:cs="仿宋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auto"/>
          <w:sz w:val="32"/>
          <w:szCs w:val="32"/>
        </w:rPr>
        <w:t>（二）科学谋划布局。</w:t>
      </w:r>
      <w:r>
        <w:rPr>
          <w:rFonts w:hint="eastAsia" w:ascii="仿宋_GB2312" w:hAnsi="楷体" w:cs="仿宋"/>
          <w:bCs/>
          <w:color w:val="auto"/>
          <w:sz w:val="32"/>
          <w:szCs w:val="32"/>
        </w:rPr>
        <w:t>各市</w:t>
      </w:r>
      <w:r>
        <w:rPr>
          <w:rFonts w:hint="eastAsia" w:ascii="仿宋_GB2312" w:hAnsi="黑体" w:cs="仿宋"/>
          <w:color w:val="auto"/>
          <w:sz w:val="32"/>
          <w:szCs w:val="32"/>
        </w:rPr>
        <w:t>要深度融合“辽宁好粮油”行动计划，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立足</w:t>
      </w:r>
      <w:r>
        <w:rPr>
          <w:rFonts w:hint="eastAsia" w:ascii="仿宋_GB2312" w:hAnsi="黑体" w:cs="仿宋"/>
          <w:color w:val="auto"/>
          <w:sz w:val="32"/>
          <w:szCs w:val="32"/>
        </w:rPr>
        <w:t>本地区实际和企业发展需求，认真谋划本地粮食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品种品质品牌</w:t>
      </w:r>
      <w:r>
        <w:rPr>
          <w:rFonts w:hint="eastAsia" w:ascii="仿宋_GB2312" w:hAnsi="黑体" w:cs="仿宋"/>
          <w:color w:val="auto"/>
          <w:sz w:val="32"/>
          <w:szCs w:val="32"/>
        </w:rPr>
        <w:t>提升行动布局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。坚持培优扶强原则，突出绿色发展，保障质量，</w:t>
      </w:r>
      <w:r>
        <w:rPr>
          <w:rFonts w:hint="eastAsia" w:ascii="仿宋_GB2312" w:hAnsi="仿宋" w:cs="仿宋"/>
          <w:color w:val="auto"/>
          <w:spacing w:val="-5"/>
          <w:sz w:val="32"/>
          <w:szCs w:val="32"/>
        </w:rPr>
        <w:t>量力而行，</w:t>
      </w:r>
      <w:r>
        <w:rPr>
          <w:rFonts w:hint="eastAsia" w:ascii="仿宋_GB2312" w:hAnsi="仿宋" w:cs="仿宋"/>
          <w:color w:val="auto"/>
          <w:spacing w:val="-5"/>
          <w:sz w:val="32"/>
          <w:szCs w:val="32"/>
          <w:lang w:eastAsia="zh-CN"/>
        </w:rPr>
        <w:t>杜绝“好大喜功”，</w:t>
      </w:r>
      <w:r>
        <w:rPr>
          <w:rFonts w:hint="eastAsia" w:ascii="仿宋_GB2312" w:hAnsi="黑体" w:cs="仿宋"/>
          <w:color w:val="auto"/>
          <w:sz w:val="32"/>
          <w:szCs w:val="32"/>
        </w:rPr>
        <w:t>禁止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黑体" w:cs="仿宋"/>
          <w:color w:val="auto"/>
          <w:sz w:val="32"/>
          <w:szCs w:val="32"/>
        </w:rPr>
        <w:t>撒胡椒面</w:t>
      </w:r>
      <w:r>
        <w:rPr>
          <w:rFonts w:hint="eastAsia" w:ascii="仿宋_GB2312" w:hAnsi="黑体" w:cs="仿宋"/>
          <w:color w:val="auto"/>
          <w:sz w:val="32"/>
          <w:szCs w:val="32"/>
          <w:lang w:eastAsia="zh-CN"/>
        </w:rPr>
        <w:t>”，</w:t>
      </w:r>
      <w:r>
        <w:rPr>
          <w:rFonts w:hint="eastAsia" w:ascii="仿宋_GB2312" w:hAnsi="黑体" w:cs="仿宋"/>
          <w:color w:val="auto"/>
          <w:sz w:val="32"/>
          <w:szCs w:val="32"/>
        </w:rPr>
        <w:t>确保实施方案科学合理。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72" w:lineRule="exact"/>
        <w:ind w:firstLine="663" w:firstLineChars="200"/>
        <w:textAlignment w:val="auto"/>
        <w:rPr>
          <w:rFonts w:hint="eastAsia" w:ascii="仿宋_GB2312" w:hAnsi="仿宋_GB2312" w:cs="仿宋_GB2312"/>
          <w:color w:val="auto"/>
          <w:spacing w:val="5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pacing w:val="5"/>
          <w:sz w:val="32"/>
          <w:szCs w:val="32"/>
        </w:rPr>
        <w:t>（三）落实资金保障。</w:t>
      </w:r>
      <w:r>
        <w:rPr>
          <w:rFonts w:hint="eastAsia" w:ascii="仿宋_GB2312" w:hAnsi="仿宋_GB2312" w:eastAsia="仿宋_GB2312" w:cs="仿宋_GB2312"/>
          <w:bCs/>
          <w:spacing w:val="5"/>
          <w:szCs w:val="32"/>
        </w:rPr>
        <w:t>各市</w:t>
      </w:r>
      <w:r>
        <w:rPr>
          <w:rFonts w:hint="eastAsia" w:ascii="仿宋_GB2312" w:hAnsi="仿宋_GB2312" w:cs="仿宋_GB2312"/>
          <w:bCs/>
          <w:spacing w:val="5"/>
          <w:szCs w:val="32"/>
          <w:lang w:eastAsia="zh-CN"/>
        </w:rPr>
        <w:t>统筹使用</w:t>
      </w:r>
      <w:r>
        <w:rPr>
          <w:rFonts w:hint="eastAsia" w:ascii="仿宋_GB2312" w:hAnsi="仿宋_GB2312" w:eastAsia="仿宋_GB2312" w:cs="仿宋_GB2312"/>
          <w:bCs/>
          <w:spacing w:val="5"/>
          <w:szCs w:val="32"/>
        </w:rPr>
        <w:t>商品粮大省奖励资金</w:t>
      </w:r>
      <w:r>
        <w:rPr>
          <w:rFonts w:hint="eastAsia" w:ascii="仿宋_GB2312" w:hAnsi="仿宋_GB2312" w:cs="仿宋_GB2312"/>
          <w:bCs/>
          <w:spacing w:val="5"/>
          <w:szCs w:val="32"/>
          <w:lang w:eastAsia="zh-CN"/>
        </w:rPr>
        <w:t>，补助资金比例不超过总投资额度的</w:t>
      </w:r>
      <w:r>
        <w:rPr>
          <w:rFonts w:hint="eastAsia" w:ascii="仿宋_GB2312" w:hAnsi="仿宋_GB2312" w:cs="仿宋_GB2312"/>
          <w:bCs/>
          <w:spacing w:val="5"/>
          <w:szCs w:val="32"/>
          <w:lang w:val="en-US" w:eastAsia="zh-CN"/>
        </w:rPr>
        <w:t>30%</w:t>
      </w:r>
      <w:r>
        <w:rPr>
          <w:rFonts w:hint="eastAsia" w:ascii="仿宋_GB2312" w:hAnsi="仿宋_GB2312" w:cs="仿宋_GB2312"/>
          <w:bCs/>
          <w:spacing w:val="5"/>
          <w:szCs w:val="32"/>
          <w:lang w:eastAsia="zh-CN"/>
        </w:rPr>
        <w:t>。</w:t>
      </w:r>
      <w:r>
        <w:rPr>
          <w:rFonts w:hint="eastAsia" w:ascii="仿宋_GB2312" w:hAnsi="仿宋_GB2312" w:cs="仿宋_GB2312"/>
          <w:spacing w:val="-5"/>
          <w:szCs w:val="32"/>
          <w:lang w:eastAsia="zh-CN"/>
        </w:rPr>
        <w:t>各地</w:t>
      </w:r>
      <w:r>
        <w:rPr>
          <w:rFonts w:hint="eastAsia" w:ascii="仿宋_GB2312" w:hAnsi="仿宋_GB2312" w:eastAsia="仿宋_GB2312" w:cs="仿宋_GB2312"/>
          <w:spacing w:val="-5"/>
          <w:szCs w:val="32"/>
        </w:rPr>
        <w:t>认真落实相关财务管理规定</w:t>
      </w:r>
      <w:r>
        <w:rPr>
          <w:rFonts w:hint="eastAsia" w:ascii="仿宋_GB2312" w:hAnsi="仿宋_GB2312" w:eastAsia="仿宋_GB2312" w:cs="仿宋_GB2312"/>
          <w:szCs w:val="32"/>
        </w:rPr>
        <w:t>，建立专账专户，</w:t>
      </w:r>
      <w:r>
        <w:rPr>
          <w:rFonts w:hint="eastAsia" w:ascii="仿宋_GB2312" w:hAnsi="仿宋_GB2312" w:eastAsia="仿宋_GB2312" w:cs="仿宋_GB2312"/>
          <w:spacing w:val="-5"/>
          <w:szCs w:val="32"/>
        </w:rPr>
        <w:t>严格履行政府采购、招投标等手续</w:t>
      </w:r>
      <w:r>
        <w:rPr>
          <w:rFonts w:hint="eastAsia" w:ascii="仿宋_GB2312" w:hAnsi="仿宋_GB2312" w:eastAsia="仿宋_GB2312" w:cs="仿宋_GB2312"/>
          <w:spacing w:val="5"/>
          <w:szCs w:val="32"/>
        </w:rPr>
        <w:t>，禁止挤占挪用。</w:t>
      </w:r>
      <w:r>
        <w:rPr>
          <w:rFonts w:hint="eastAsia" w:ascii="仿宋_GB2312" w:hAnsi="仿宋_GB2312" w:eastAsia="仿宋_GB2312" w:cs="仿宋_GB2312"/>
          <w:szCs w:val="32"/>
        </w:rPr>
        <w:t>补助资金不得用于安排车辆购置、人员工资和弥补办公经费缺口等机构运转支出，</w:t>
      </w:r>
      <w:r>
        <w:rPr>
          <w:rFonts w:hint="eastAsia" w:ascii="仿宋_GB2312" w:hAnsi="仿宋_GB2312" w:eastAsia="仿宋_GB2312" w:cs="仿宋_GB2312"/>
          <w:spacing w:val="-5"/>
          <w:szCs w:val="32"/>
        </w:rPr>
        <w:t>同一项目不得重复申请不同专项资金，切实保障资金使用安全，确保资金发挥最大效益。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Autospacing="0" w:afterAutospacing="0" w:line="572" w:lineRule="exact"/>
        <w:ind w:left="0" w:leftChars="0" w:right="0" w:rightChars="0" w:firstLine="663" w:firstLineChars="200"/>
        <w:textAlignment w:val="auto"/>
        <w:outlineLvl w:val="9"/>
        <w:rPr>
          <w:rFonts w:hint="eastAsia" w:ascii="仿宋_GB2312" w:hAnsi="华文中宋" w:cs="永中宋体"/>
          <w:color w:val="auto"/>
          <w:spacing w:val="5"/>
          <w:sz w:val="32"/>
          <w:szCs w:val="32"/>
        </w:rPr>
      </w:pP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（</w:t>
      </w: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  <w:lang w:eastAsia="zh-CN"/>
        </w:rPr>
        <w:t>四</w:t>
      </w:r>
      <w:r>
        <w:rPr>
          <w:rFonts w:hint="eastAsia" w:ascii="楷体_GB2312" w:hAnsi="楷体" w:eastAsia="楷体_GB2312" w:cs="楷体"/>
          <w:b/>
          <w:color w:val="auto"/>
          <w:spacing w:val="5"/>
          <w:sz w:val="32"/>
          <w:szCs w:val="32"/>
        </w:rPr>
        <w:t>）强化科技和人才支撑。</w:t>
      </w:r>
      <w:r>
        <w:rPr>
          <w:rFonts w:ascii="仿宋_GB2312" w:hAnsi="华文中宋" w:cs="永中宋体"/>
          <w:color w:val="auto"/>
          <w:spacing w:val="5"/>
          <w:sz w:val="32"/>
          <w:szCs w:val="32"/>
        </w:rPr>
        <w:t>鼓励发挥大专院校、科研院所优势，积极搭建科技创新平台，</w:t>
      </w:r>
      <w:r>
        <w:rPr>
          <w:rFonts w:hint="eastAsia" w:ascii="仿宋_GB2312" w:hAnsi="华文中宋" w:cs="永中宋体"/>
          <w:color w:val="auto"/>
          <w:spacing w:val="5"/>
          <w:sz w:val="32"/>
          <w:szCs w:val="32"/>
        </w:rPr>
        <w:t>强化优质粮油产品研发，</w:t>
      </w:r>
      <w:r>
        <w:rPr>
          <w:rFonts w:hint="eastAsia" w:ascii="仿宋_GB2312" w:hAnsi="华文中宋" w:cs="永中宋体"/>
          <w:color w:val="auto"/>
          <w:spacing w:val="5"/>
          <w:sz w:val="32"/>
          <w:szCs w:val="32"/>
          <w:lang w:val="en-US" w:eastAsia="zh-CN"/>
        </w:rPr>
        <w:t>推动</w:t>
      </w:r>
      <w:r>
        <w:rPr>
          <w:rFonts w:hint="eastAsia" w:ascii="仿宋_GB2312" w:hAnsi="华文中宋" w:cs="永中宋体"/>
          <w:color w:val="auto"/>
          <w:spacing w:val="5"/>
          <w:sz w:val="32"/>
          <w:szCs w:val="32"/>
        </w:rPr>
        <w:t>优质产品上规模、特色产品标准化、绿色产品创品牌。</w:t>
      </w:r>
      <w:r>
        <w:rPr>
          <w:rFonts w:hint="eastAsia" w:ascii="仿宋_GB2312" w:hAnsi="华文中宋" w:cs="永中宋体"/>
          <w:color w:val="auto"/>
          <w:spacing w:val="5"/>
          <w:sz w:val="32"/>
          <w:szCs w:val="32"/>
          <w:lang w:val="en-US" w:eastAsia="zh-CN"/>
        </w:rPr>
        <w:t>加快专业化人才队伍建设，</w:t>
      </w:r>
      <w:r>
        <w:rPr>
          <w:rFonts w:hint="eastAsia" w:ascii="仿宋_GB2312" w:hAnsi="华文中宋" w:cs="永中宋体"/>
          <w:color w:val="auto"/>
          <w:spacing w:val="5"/>
          <w:sz w:val="32"/>
          <w:szCs w:val="32"/>
        </w:rPr>
        <w:t>持续开展科技成果、人才、机构“三对接”活动，创新“产学研用”合作机制，</w:t>
      </w:r>
      <w:r>
        <w:rPr>
          <w:rFonts w:hint="eastAsia" w:ascii="仿宋_GB2312" w:hAnsi="华文中宋" w:cs="永中宋体"/>
          <w:color w:val="auto"/>
          <w:spacing w:val="5"/>
          <w:sz w:val="32"/>
          <w:szCs w:val="32"/>
          <w:lang w:val="en-US" w:eastAsia="zh-CN"/>
        </w:rPr>
        <w:t>加快科技成果转化</w:t>
      </w:r>
      <w:r>
        <w:rPr>
          <w:rFonts w:hint="eastAsia" w:ascii="仿宋_GB2312" w:hAnsi="华文中宋" w:cs="永中宋体"/>
          <w:color w:val="auto"/>
          <w:spacing w:val="5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3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5"/>
          <w:kern w:val="2"/>
          <w:sz w:val="32"/>
          <w:szCs w:val="32"/>
          <w:lang w:val="en-US" w:eastAsia="zh-CN" w:bidi="ar-SA"/>
        </w:rPr>
        <w:t>（五）做好绩效管理。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各市要结合实际，认真填报《深入推进优质粮食工程指标体系》，指导示范县（市、区）、重点龙头骨干企业做好绩效目标考核准备工作，重点在项目数量、质量、时效、经济效益、社会效益等方面细化量化，保障绩效目标合理可行、匹配适当，确保粮食品种品质品牌提升行动顺利完成。</w:t>
      </w:r>
      <w:bookmarkStart w:id="3" w:name="_GoBack"/>
      <w:bookmarkEnd w:id="3"/>
    </w:p>
    <w:sectPr>
      <w:footerReference r:id="rId5" w:type="default"/>
      <w:pgSz w:w="11907" w:h="16840"/>
      <w:pgMar w:top="2098" w:right="1474" w:bottom="1984" w:left="1587" w:header="851" w:footer="1531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方正书宋_GBK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”“Times New Roman”“">
    <w:altName w:val="DejaVu Sans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粗黑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Noto Serif Bengali"/>
    <w:panose1 w:val="02020609040205080304"/>
    <w:charset w:val="00"/>
    <w:family w:val="modern"/>
    <w:pitch w:val="default"/>
    <w:sig w:usb0="00000000" w:usb1="00000000" w:usb2="00000012" w:usb3="00000000" w:csb0="0002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永中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7DqV3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20"/>
  <w:drawingGridVerticalSpacing w:val="218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87"/>
    <w:rsid w:val="000001E5"/>
    <w:rsid w:val="000158EE"/>
    <w:rsid w:val="00024088"/>
    <w:rsid w:val="00025532"/>
    <w:rsid w:val="00031B62"/>
    <w:rsid w:val="00035FB1"/>
    <w:rsid w:val="000535C4"/>
    <w:rsid w:val="0005669F"/>
    <w:rsid w:val="00062797"/>
    <w:rsid w:val="00065C59"/>
    <w:rsid w:val="000726E8"/>
    <w:rsid w:val="00083301"/>
    <w:rsid w:val="0008387E"/>
    <w:rsid w:val="00090397"/>
    <w:rsid w:val="0009557E"/>
    <w:rsid w:val="000A2858"/>
    <w:rsid w:val="000A75B9"/>
    <w:rsid w:val="000B13DD"/>
    <w:rsid w:val="000B19CE"/>
    <w:rsid w:val="000B534A"/>
    <w:rsid w:val="000C0CDF"/>
    <w:rsid w:val="000C146F"/>
    <w:rsid w:val="000C2651"/>
    <w:rsid w:val="000C3A3E"/>
    <w:rsid w:val="000C45AC"/>
    <w:rsid w:val="000D0748"/>
    <w:rsid w:val="000D2A6F"/>
    <w:rsid w:val="000D300B"/>
    <w:rsid w:val="000D393E"/>
    <w:rsid w:val="000E1093"/>
    <w:rsid w:val="000E4B1B"/>
    <w:rsid w:val="000E6208"/>
    <w:rsid w:val="000E71F8"/>
    <w:rsid w:val="0010377E"/>
    <w:rsid w:val="00110B1D"/>
    <w:rsid w:val="00112E5C"/>
    <w:rsid w:val="0012088E"/>
    <w:rsid w:val="00125B46"/>
    <w:rsid w:val="00130E33"/>
    <w:rsid w:val="00133694"/>
    <w:rsid w:val="00137874"/>
    <w:rsid w:val="00153D1E"/>
    <w:rsid w:val="0016629E"/>
    <w:rsid w:val="0017464D"/>
    <w:rsid w:val="00174BA4"/>
    <w:rsid w:val="00175A69"/>
    <w:rsid w:val="001806A6"/>
    <w:rsid w:val="00181594"/>
    <w:rsid w:val="00181FA0"/>
    <w:rsid w:val="00186CE7"/>
    <w:rsid w:val="001907E7"/>
    <w:rsid w:val="001A4164"/>
    <w:rsid w:val="001C4F37"/>
    <w:rsid w:val="001C5364"/>
    <w:rsid w:val="001D4264"/>
    <w:rsid w:val="001E53F2"/>
    <w:rsid w:val="001E61C3"/>
    <w:rsid w:val="00211B58"/>
    <w:rsid w:val="00212C32"/>
    <w:rsid w:val="00217DC8"/>
    <w:rsid w:val="00226EFA"/>
    <w:rsid w:val="00233FF1"/>
    <w:rsid w:val="00240AB1"/>
    <w:rsid w:val="00242345"/>
    <w:rsid w:val="00244823"/>
    <w:rsid w:val="00252DE0"/>
    <w:rsid w:val="00255970"/>
    <w:rsid w:val="00265327"/>
    <w:rsid w:val="00277344"/>
    <w:rsid w:val="00277DF6"/>
    <w:rsid w:val="00292D2B"/>
    <w:rsid w:val="00293B4D"/>
    <w:rsid w:val="002A2F94"/>
    <w:rsid w:val="002A3C59"/>
    <w:rsid w:val="002C0508"/>
    <w:rsid w:val="002E16B8"/>
    <w:rsid w:val="002F0EC8"/>
    <w:rsid w:val="002F4D0F"/>
    <w:rsid w:val="002F6B80"/>
    <w:rsid w:val="00312630"/>
    <w:rsid w:val="00315E64"/>
    <w:rsid w:val="003226BE"/>
    <w:rsid w:val="00325397"/>
    <w:rsid w:val="00334E05"/>
    <w:rsid w:val="003364A1"/>
    <w:rsid w:val="00344905"/>
    <w:rsid w:val="00354DD0"/>
    <w:rsid w:val="00357529"/>
    <w:rsid w:val="003609DF"/>
    <w:rsid w:val="00361E8D"/>
    <w:rsid w:val="00362D03"/>
    <w:rsid w:val="003755FC"/>
    <w:rsid w:val="00377132"/>
    <w:rsid w:val="00380B73"/>
    <w:rsid w:val="003B4B18"/>
    <w:rsid w:val="003B6A34"/>
    <w:rsid w:val="003B7617"/>
    <w:rsid w:val="003D236A"/>
    <w:rsid w:val="003D27BE"/>
    <w:rsid w:val="003D5FD1"/>
    <w:rsid w:val="003D7CB9"/>
    <w:rsid w:val="003E08F0"/>
    <w:rsid w:val="003E69B8"/>
    <w:rsid w:val="003F4AB0"/>
    <w:rsid w:val="003F7EE5"/>
    <w:rsid w:val="00401C10"/>
    <w:rsid w:val="004046F6"/>
    <w:rsid w:val="0042199E"/>
    <w:rsid w:val="00424D63"/>
    <w:rsid w:val="00425F93"/>
    <w:rsid w:val="00430F55"/>
    <w:rsid w:val="00443780"/>
    <w:rsid w:val="0044414E"/>
    <w:rsid w:val="004504BF"/>
    <w:rsid w:val="00451A34"/>
    <w:rsid w:val="00453DA4"/>
    <w:rsid w:val="00455DAB"/>
    <w:rsid w:val="00455E61"/>
    <w:rsid w:val="00465B25"/>
    <w:rsid w:val="00487133"/>
    <w:rsid w:val="00487EF6"/>
    <w:rsid w:val="0049697D"/>
    <w:rsid w:val="004977CE"/>
    <w:rsid w:val="004B0A4E"/>
    <w:rsid w:val="004B2B23"/>
    <w:rsid w:val="004B35B3"/>
    <w:rsid w:val="004B599A"/>
    <w:rsid w:val="004E25E9"/>
    <w:rsid w:val="004F2683"/>
    <w:rsid w:val="00500542"/>
    <w:rsid w:val="005006EE"/>
    <w:rsid w:val="0051084E"/>
    <w:rsid w:val="00521100"/>
    <w:rsid w:val="00521E18"/>
    <w:rsid w:val="00533C41"/>
    <w:rsid w:val="00540385"/>
    <w:rsid w:val="00541731"/>
    <w:rsid w:val="00541E2E"/>
    <w:rsid w:val="0054242B"/>
    <w:rsid w:val="00547363"/>
    <w:rsid w:val="0055757B"/>
    <w:rsid w:val="0056191F"/>
    <w:rsid w:val="00567FB6"/>
    <w:rsid w:val="00575764"/>
    <w:rsid w:val="00586666"/>
    <w:rsid w:val="005A56F4"/>
    <w:rsid w:val="005A70A7"/>
    <w:rsid w:val="005B278C"/>
    <w:rsid w:val="005C2B44"/>
    <w:rsid w:val="005C59C8"/>
    <w:rsid w:val="005E1D90"/>
    <w:rsid w:val="005E1E08"/>
    <w:rsid w:val="005E69D7"/>
    <w:rsid w:val="00601C0B"/>
    <w:rsid w:val="00603ACC"/>
    <w:rsid w:val="00606840"/>
    <w:rsid w:val="00610B06"/>
    <w:rsid w:val="00615BE4"/>
    <w:rsid w:val="00616607"/>
    <w:rsid w:val="00620FC5"/>
    <w:rsid w:val="006326DC"/>
    <w:rsid w:val="0067515D"/>
    <w:rsid w:val="00676203"/>
    <w:rsid w:val="006879C5"/>
    <w:rsid w:val="006949E6"/>
    <w:rsid w:val="006A0356"/>
    <w:rsid w:val="006A0806"/>
    <w:rsid w:val="006A1C4C"/>
    <w:rsid w:val="006A42FD"/>
    <w:rsid w:val="006B062B"/>
    <w:rsid w:val="006C0C90"/>
    <w:rsid w:val="006C11D7"/>
    <w:rsid w:val="006D127C"/>
    <w:rsid w:val="006D1BCE"/>
    <w:rsid w:val="006E0D48"/>
    <w:rsid w:val="006F1F1B"/>
    <w:rsid w:val="006F4829"/>
    <w:rsid w:val="0070176B"/>
    <w:rsid w:val="007051BD"/>
    <w:rsid w:val="0070650D"/>
    <w:rsid w:val="007365D3"/>
    <w:rsid w:val="0074241D"/>
    <w:rsid w:val="00744568"/>
    <w:rsid w:val="00752CE3"/>
    <w:rsid w:val="00757A97"/>
    <w:rsid w:val="007630A7"/>
    <w:rsid w:val="007702FB"/>
    <w:rsid w:val="00777798"/>
    <w:rsid w:val="00794C71"/>
    <w:rsid w:val="007A3618"/>
    <w:rsid w:val="007A7D9F"/>
    <w:rsid w:val="007B0166"/>
    <w:rsid w:val="007C01AC"/>
    <w:rsid w:val="007C2B51"/>
    <w:rsid w:val="007E13CE"/>
    <w:rsid w:val="007E2BAE"/>
    <w:rsid w:val="007F217A"/>
    <w:rsid w:val="008063BE"/>
    <w:rsid w:val="008103DA"/>
    <w:rsid w:val="008217A1"/>
    <w:rsid w:val="00825DBA"/>
    <w:rsid w:val="0083482E"/>
    <w:rsid w:val="008402F8"/>
    <w:rsid w:val="0084389E"/>
    <w:rsid w:val="00850D68"/>
    <w:rsid w:val="0085327D"/>
    <w:rsid w:val="00853863"/>
    <w:rsid w:val="00857DE0"/>
    <w:rsid w:val="008663BB"/>
    <w:rsid w:val="008705F7"/>
    <w:rsid w:val="0088018F"/>
    <w:rsid w:val="00880AC3"/>
    <w:rsid w:val="00882EEC"/>
    <w:rsid w:val="008853B4"/>
    <w:rsid w:val="008965BF"/>
    <w:rsid w:val="008C4563"/>
    <w:rsid w:val="008D0BB8"/>
    <w:rsid w:val="008D2BC3"/>
    <w:rsid w:val="008D4ED3"/>
    <w:rsid w:val="008F1E38"/>
    <w:rsid w:val="00900E53"/>
    <w:rsid w:val="00907E65"/>
    <w:rsid w:val="0091056C"/>
    <w:rsid w:val="009115C0"/>
    <w:rsid w:val="00911943"/>
    <w:rsid w:val="00912E59"/>
    <w:rsid w:val="00912F0B"/>
    <w:rsid w:val="00914EBB"/>
    <w:rsid w:val="00937758"/>
    <w:rsid w:val="0095058D"/>
    <w:rsid w:val="00952E66"/>
    <w:rsid w:val="0097691F"/>
    <w:rsid w:val="00984B82"/>
    <w:rsid w:val="0098741E"/>
    <w:rsid w:val="00991D90"/>
    <w:rsid w:val="0099351A"/>
    <w:rsid w:val="009940E5"/>
    <w:rsid w:val="00996BE1"/>
    <w:rsid w:val="00996D8B"/>
    <w:rsid w:val="009B23F4"/>
    <w:rsid w:val="009B5221"/>
    <w:rsid w:val="009B71B2"/>
    <w:rsid w:val="009C5CA2"/>
    <w:rsid w:val="009E2FFE"/>
    <w:rsid w:val="009F16A2"/>
    <w:rsid w:val="00A0504C"/>
    <w:rsid w:val="00A0750E"/>
    <w:rsid w:val="00A1021E"/>
    <w:rsid w:val="00A14A59"/>
    <w:rsid w:val="00A249B0"/>
    <w:rsid w:val="00A25E52"/>
    <w:rsid w:val="00A309CC"/>
    <w:rsid w:val="00A34687"/>
    <w:rsid w:val="00A36A0F"/>
    <w:rsid w:val="00A5748B"/>
    <w:rsid w:val="00A67B3C"/>
    <w:rsid w:val="00A72720"/>
    <w:rsid w:val="00A748F1"/>
    <w:rsid w:val="00A93234"/>
    <w:rsid w:val="00A94B37"/>
    <w:rsid w:val="00A97311"/>
    <w:rsid w:val="00AB7E1F"/>
    <w:rsid w:val="00AC3BD8"/>
    <w:rsid w:val="00AC464D"/>
    <w:rsid w:val="00AC4F26"/>
    <w:rsid w:val="00AC524E"/>
    <w:rsid w:val="00AC54E9"/>
    <w:rsid w:val="00AD2820"/>
    <w:rsid w:val="00AE506A"/>
    <w:rsid w:val="00AE70B8"/>
    <w:rsid w:val="00AF5118"/>
    <w:rsid w:val="00B03092"/>
    <w:rsid w:val="00B042BC"/>
    <w:rsid w:val="00B16322"/>
    <w:rsid w:val="00B50C3A"/>
    <w:rsid w:val="00B667C8"/>
    <w:rsid w:val="00B676C7"/>
    <w:rsid w:val="00B7174C"/>
    <w:rsid w:val="00B71A84"/>
    <w:rsid w:val="00B71FAD"/>
    <w:rsid w:val="00B9465A"/>
    <w:rsid w:val="00BA12D0"/>
    <w:rsid w:val="00BA1F7C"/>
    <w:rsid w:val="00BA6C3C"/>
    <w:rsid w:val="00BC6852"/>
    <w:rsid w:val="00BD2F43"/>
    <w:rsid w:val="00BE39E9"/>
    <w:rsid w:val="00BE4C94"/>
    <w:rsid w:val="00BF2C82"/>
    <w:rsid w:val="00BF341E"/>
    <w:rsid w:val="00BF7F01"/>
    <w:rsid w:val="00C06BC3"/>
    <w:rsid w:val="00C0759C"/>
    <w:rsid w:val="00C10087"/>
    <w:rsid w:val="00C14446"/>
    <w:rsid w:val="00C16111"/>
    <w:rsid w:val="00C305D0"/>
    <w:rsid w:val="00C43B47"/>
    <w:rsid w:val="00C601B1"/>
    <w:rsid w:val="00C60255"/>
    <w:rsid w:val="00C762A2"/>
    <w:rsid w:val="00C8097E"/>
    <w:rsid w:val="00C8384A"/>
    <w:rsid w:val="00C90A9B"/>
    <w:rsid w:val="00C920D0"/>
    <w:rsid w:val="00C92C93"/>
    <w:rsid w:val="00CC0548"/>
    <w:rsid w:val="00CC499D"/>
    <w:rsid w:val="00CD282B"/>
    <w:rsid w:val="00CE11D9"/>
    <w:rsid w:val="00CF1399"/>
    <w:rsid w:val="00D06677"/>
    <w:rsid w:val="00D11D68"/>
    <w:rsid w:val="00D1313D"/>
    <w:rsid w:val="00D13CEE"/>
    <w:rsid w:val="00D25E6C"/>
    <w:rsid w:val="00D3249A"/>
    <w:rsid w:val="00D35C8C"/>
    <w:rsid w:val="00D54A94"/>
    <w:rsid w:val="00D602EA"/>
    <w:rsid w:val="00D653B1"/>
    <w:rsid w:val="00D663F5"/>
    <w:rsid w:val="00D67405"/>
    <w:rsid w:val="00D7407A"/>
    <w:rsid w:val="00D939EA"/>
    <w:rsid w:val="00DA371E"/>
    <w:rsid w:val="00DA5975"/>
    <w:rsid w:val="00DB4A5E"/>
    <w:rsid w:val="00DB6D74"/>
    <w:rsid w:val="00DC257C"/>
    <w:rsid w:val="00DC3826"/>
    <w:rsid w:val="00DC7A29"/>
    <w:rsid w:val="00DD107C"/>
    <w:rsid w:val="00DD1129"/>
    <w:rsid w:val="00DD7B7E"/>
    <w:rsid w:val="00DE02E5"/>
    <w:rsid w:val="00DE2419"/>
    <w:rsid w:val="00DE3E70"/>
    <w:rsid w:val="00DE4B38"/>
    <w:rsid w:val="00DF0B6A"/>
    <w:rsid w:val="00DF2C1B"/>
    <w:rsid w:val="00DF3A64"/>
    <w:rsid w:val="00DF4C01"/>
    <w:rsid w:val="00DF6F78"/>
    <w:rsid w:val="00DF7C36"/>
    <w:rsid w:val="00E4368F"/>
    <w:rsid w:val="00E46222"/>
    <w:rsid w:val="00E46B00"/>
    <w:rsid w:val="00E47D41"/>
    <w:rsid w:val="00E73070"/>
    <w:rsid w:val="00E76FF8"/>
    <w:rsid w:val="00E81D06"/>
    <w:rsid w:val="00E83224"/>
    <w:rsid w:val="00E911C5"/>
    <w:rsid w:val="00E96067"/>
    <w:rsid w:val="00EA1A32"/>
    <w:rsid w:val="00EA5D57"/>
    <w:rsid w:val="00EB2E9A"/>
    <w:rsid w:val="00EB70AB"/>
    <w:rsid w:val="00EC51B7"/>
    <w:rsid w:val="00EC7689"/>
    <w:rsid w:val="00EE2628"/>
    <w:rsid w:val="00EF091C"/>
    <w:rsid w:val="00F17041"/>
    <w:rsid w:val="00F24D4E"/>
    <w:rsid w:val="00F25512"/>
    <w:rsid w:val="00F32AA3"/>
    <w:rsid w:val="00F40C33"/>
    <w:rsid w:val="00F42C48"/>
    <w:rsid w:val="00F50348"/>
    <w:rsid w:val="00F576C7"/>
    <w:rsid w:val="00F65C95"/>
    <w:rsid w:val="00F72081"/>
    <w:rsid w:val="00F82B5B"/>
    <w:rsid w:val="00F97586"/>
    <w:rsid w:val="00FA2F94"/>
    <w:rsid w:val="00FB447E"/>
    <w:rsid w:val="00FC4EBA"/>
    <w:rsid w:val="00FC64D0"/>
    <w:rsid w:val="00FD2EFD"/>
    <w:rsid w:val="00FD69DA"/>
    <w:rsid w:val="00FF68EE"/>
    <w:rsid w:val="010C543D"/>
    <w:rsid w:val="02792F9B"/>
    <w:rsid w:val="03157EE1"/>
    <w:rsid w:val="04305742"/>
    <w:rsid w:val="046B3380"/>
    <w:rsid w:val="04DA061F"/>
    <w:rsid w:val="05282A26"/>
    <w:rsid w:val="05CBE162"/>
    <w:rsid w:val="05D61374"/>
    <w:rsid w:val="05DE7F94"/>
    <w:rsid w:val="060B5E44"/>
    <w:rsid w:val="0699289A"/>
    <w:rsid w:val="06CF280B"/>
    <w:rsid w:val="07262F42"/>
    <w:rsid w:val="074000EE"/>
    <w:rsid w:val="074E3384"/>
    <w:rsid w:val="08736AE3"/>
    <w:rsid w:val="08AA16F5"/>
    <w:rsid w:val="08E9215E"/>
    <w:rsid w:val="09744731"/>
    <w:rsid w:val="0AD443DF"/>
    <w:rsid w:val="0AE104AB"/>
    <w:rsid w:val="0AF33399"/>
    <w:rsid w:val="0B4247C1"/>
    <w:rsid w:val="0B85598D"/>
    <w:rsid w:val="0B861462"/>
    <w:rsid w:val="0B8A09A4"/>
    <w:rsid w:val="0DE8360C"/>
    <w:rsid w:val="0E84307D"/>
    <w:rsid w:val="0E8E3087"/>
    <w:rsid w:val="0EE4035C"/>
    <w:rsid w:val="0F2E1E8F"/>
    <w:rsid w:val="0FA12302"/>
    <w:rsid w:val="1098410F"/>
    <w:rsid w:val="10A2201E"/>
    <w:rsid w:val="10BC5E37"/>
    <w:rsid w:val="10BD10AE"/>
    <w:rsid w:val="110A0458"/>
    <w:rsid w:val="126950D1"/>
    <w:rsid w:val="127077B2"/>
    <w:rsid w:val="127A5A84"/>
    <w:rsid w:val="12864734"/>
    <w:rsid w:val="13182FC8"/>
    <w:rsid w:val="1331496B"/>
    <w:rsid w:val="13BD2E28"/>
    <w:rsid w:val="13C61B7D"/>
    <w:rsid w:val="143052CB"/>
    <w:rsid w:val="150823BE"/>
    <w:rsid w:val="15A858C2"/>
    <w:rsid w:val="164C37DC"/>
    <w:rsid w:val="165F25C5"/>
    <w:rsid w:val="165F49D8"/>
    <w:rsid w:val="16D5133F"/>
    <w:rsid w:val="16DC594F"/>
    <w:rsid w:val="16EB4A67"/>
    <w:rsid w:val="170B781F"/>
    <w:rsid w:val="17E94C62"/>
    <w:rsid w:val="18C23CE3"/>
    <w:rsid w:val="18C82A38"/>
    <w:rsid w:val="19036716"/>
    <w:rsid w:val="191762F9"/>
    <w:rsid w:val="19C967AD"/>
    <w:rsid w:val="1AD21A56"/>
    <w:rsid w:val="1BCFD69A"/>
    <w:rsid w:val="1C0523E9"/>
    <w:rsid w:val="1CB316CF"/>
    <w:rsid w:val="1DED769B"/>
    <w:rsid w:val="1E2536DA"/>
    <w:rsid w:val="1E5FE036"/>
    <w:rsid w:val="1E830353"/>
    <w:rsid w:val="1F7F4DD9"/>
    <w:rsid w:val="1FAC58F3"/>
    <w:rsid w:val="1FB45CC1"/>
    <w:rsid w:val="1FD11DA2"/>
    <w:rsid w:val="1FE7088A"/>
    <w:rsid w:val="200E02CB"/>
    <w:rsid w:val="209C5C91"/>
    <w:rsid w:val="209D6A16"/>
    <w:rsid w:val="20AA3662"/>
    <w:rsid w:val="21A24BB8"/>
    <w:rsid w:val="21B13FD7"/>
    <w:rsid w:val="225174FD"/>
    <w:rsid w:val="228B4537"/>
    <w:rsid w:val="22F45509"/>
    <w:rsid w:val="23AA5307"/>
    <w:rsid w:val="23E8671F"/>
    <w:rsid w:val="24120373"/>
    <w:rsid w:val="24417778"/>
    <w:rsid w:val="24771563"/>
    <w:rsid w:val="24E3524E"/>
    <w:rsid w:val="252736EF"/>
    <w:rsid w:val="25813A7E"/>
    <w:rsid w:val="25A437BB"/>
    <w:rsid w:val="25DA2E95"/>
    <w:rsid w:val="260521B6"/>
    <w:rsid w:val="269A666B"/>
    <w:rsid w:val="26E9387E"/>
    <w:rsid w:val="279204F1"/>
    <w:rsid w:val="279F2D3F"/>
    <w:rsid w:val="291E49C7"/>
    <w:rsid w:val="295A2EF7"/>
    <w:rsid w:val="296F5DD0"/>
    <w:rsid w:val="2A266B9B"/>
    <w:rsid w:val="2A2C4571"/>
    <w:rsid w:val="2A8D23BD"/>
    <w:rsid w:val="2AF83F7F"/>
    <w:rsid w:val="2BD66EF1"/>
    <w:rsid w:val="2C185601"/>
    <w:rsid w:val="2C2E1854"/>
    <w:rsid w:val="2C2E1DD2"/>
    <w:rsid w:val="2C3A177E"/>
    <w:rsid w:val="2DEC5C5F"/>
    <w:rsid w:val="2E1E7ED1"/>
    <w:rsid w:val="2ED91824"/>
    <w:rsid w:val="2EFA3CF3"/>
    <w:rsid w:val="2F102DA7"/>
    <w:rsid w:val="2F6F7779"/>
    <w:rsid w:val="2F773072"/>
    <w:rsid w:val="2F7B3F3E"/>
    <w:rsid w:val="300717AE"/>
    <w:rsid w:val="30C13076"/>
    <w:rsid w:val="31054754"/>
    <w:rsid w:val="31B05648"/>
    <w:rsid w:val="31E33F00"/>
    <w:rsid w:val="31FB27D7"/>
    <w:rsid w:val="32281128"/>
    <w:rsid w:val="32626C61"/>
    <w:rsid w:val="32A02C6A"/>
    <w:rsid w:val="34124EB2"/>
    <w:rsid w:val="3430030F"/>
    <w:rsid w:val="34421C31"/>
    <w:rsid w:val="34CE02D3"/>
    <w:rsid w:val="350A2E4E"/>
    <w:rsid w:val="3513710C"/>
    <w:rsid w:val="35B64254"/>
    <w:rsid w:val="35D12373"/>
    <w:rsid w:val="36424D84"/>
    <w:rsid w:val="36737C0F"/>
    <w:rsid w:val="3687025F"/>
    <w:rsid w:val="36EA5B6E"/>
    <w:rsid w:val="375DCDA2"/>
    <w:rsid w:val="37842E2D"/>
    <w:rsid w:val="379A0D50"/>
    <w:rsid w:val="37A93457"/>
    <w:rsid w:val="387C6C93"/>
    <w:rsid w:val="38D00CC5"/>
    <w:rsid w:val="395F7102"/>
    <w:rsid w:val="39632B3D"/>
    <w:rsid w:val="39E43912"/>
    <w:rsid w:val="3A021F49"/>
    <w:rsid w:val="3A18210B"/>
    <w:rsid w:val="3AE1361D"/>
    <w:rsid w:val="3B914DE4"/>
    <w:rsid w:val="3C370D5C"/>
    <w:rsid w:val="3D3E654E"/>
    <w:rsid w:val="3D642AD9"/>
    <w:rsid w:val="3D8362BC"/>
    <w:rsid w:val="3DDE1ABF"/>
    <w:rsid w:val="3E762A85"/>
    <w:rsid w:val="3E7E3208"/>
    <w:rsid w:val="3E9E4B5F"/>
    <w:rsid w:val="3EBD1872"/>
    <w:rsid w:val="3F0C5C23"/>
    <w:rsid w:val="3F464A73"/>
    <w:rsid w:val="3F4C6ABE"/>
    <w:rsid w:val="3F6301F5"/>
    <w:rsid w:val="3F6A0974"/>
    <w:rsid w:val="3F6E0848"/>
    <w:rsid w:val="3F745407"/>
    <w:rsid w:val="3FBB7ACD"/>
    <w:rsid w:val="3FFF2BC3"/>
    <w:rsid w:val="40084497"/>
    <w:rsid w:val="404F2557"/>
    <w:rsid w:val="40F110A5"/>
    <w:rsid w:val="410119D6"/>
    <w:rsid w:val="42952DFF"/>
    <w:rsid w:val="42EB51C1"/>
    <w:rsid w:val="42F34EBD"/>
    <w:rsid w:val="43B71DFF"/>
    <w:rsid w:val="441656CB"/>
    <w:rsid w:val="44B62CB8"/>
    <w:rsid w:val="451E6825"/>
    <w:rsid w:val="46581115"/>
    <w:rsid w:val="466711E5"/>
    <w:rsid w:val="468E0519"/>
    <w:rsid w:val="46AC70C8"/>
    <w:rsid w:val="46C56654"/>
    <w:rsid w:val="46D90ABE"/>
    <w:rsid w:val="46DF5AB8"/>
    <w:rsid w:val="46F84B92"/>
    <w:rsid w:val="4753720A"/>
    <w:rsid w:val="47B57B96"/>
    <w:rsid w:val="47FB1D49"/>
    <w:rsid w:val="484E49CF"/>
    <w:rsid w:val="4900058E"/>
    <w:rsid w:val="49381071"/>
    <w:rsid w:val="4AEC406E"/>
    <w:rsid w:val="4B146099"/>
    <w:rsid w:val="4B404981"/>
    <w:rsid w:val="4B860C50"/>
    <w:rsid w:val="4BC71F55"/>
    <w:rsid w:val="4BFF57B6"/>
    <w:rsid w:val="4C9E3B7A"/>
    <w:rsid w:val="4CCE0B6D"/>
    <w:rsid w:val="4D0C28C4"/>
    <w:rsid w:val="4DAB0294"/>
    <w:rsid w:val="4E1D1867"/>
    <w:rsid w:val="4EAC4DA6"/>
    <w:rsid w:val="4F005565"/>
    <w:rsid w:val="4F0E144F"/>
    <w:rsid w:val="4F1E59C0"/>
    <w:rsid w:val="4F485FC3"/>
    <w:rsid w:val="4F6D618B"/>
    <w:rsid w:val="4F862056"/>
    <w:rsid w:val="4FBC1456"/>
    <w:rsid w:val="50390F66"/>
    <w:rsid w:val="51381AC1"/>
    <w:rsid w:val="51762AEE"/>
    <w:rsid w:val="518219C7"/>
    <w:rsid w:val="51CA2669"/>
    <w:rsid w:val="52D010DE"/>
    <w:rsid w:val="530C0B1B"/>
    <w:rsid w:val="5331675D"/>
    <w:rsid w:val="54032BE8"/>
    <w:rsid w:val="540551DE"/>
    <w:rsid w:val="543D1CD8"/>
    <w:rsid w:val="54D13EBC"/>
    <w:rsid w:val="54E60C06"/>
    <w:rsid w:val="54F16BC9"/>
    <w:rsid w:val="55765982"/>
    <w:rsid w:val="558A1E61"/>
    <w:rsid w:val="55C975BB"/>
    <w:rsid w:val="55FC2D0F"/>
    <w:rsid w:val="56160AC4"/>
    <w:rsid w:val="56C440E6"/>
    <w:rsid w:val="56C7BC1F"/>
    <w:rsid w:val="572B04AD"/>
    <w:rsid w:val="5860672D"/>
    <w:rsid w:val="586734D3"/>
    <w:rsid w:val="58F93FE8"/>
    <w:rsid w:val="593E3406"/>
    <w:rsid w:val="59633A07"/>
    <w:rsid w:val="59746691"/>
    <w:rsid w:val="597773A5"/>
    <w:rsid w:val="597A3ED7"/>
    <w:rsid w:val="5A0F7CF9"/>
    <w:rsid w:val="5AE43CC5"/>
    <w:rsid w:val="5BEB3EF2"/>
    <w:rsid w:val="5C487C78"/>
    <w:rsid w:val="5CA07A97"/>
    <w:rsid w:val="5D043384"/>
    <w:rsid w:val="5D1C01AF"/>
    <w:rsid w:val="5D2D5D9D"/>
    <w:rsid w:val="5D37FB72"/>
    <w:rsid w:val="5D8A6083"/>
    <w:rsid w:val="5DCE58F2"/>
    <w:rsid w:val="5DD62357"/>
    <w:rsid w:val="5E6A56B6"/>
    <w:rsid w:val="5E7303CB"/>
    <w:rsid w:val="5EE48B72"/>
    <w:rsid w:val="5F13E015"/>
    <w:rsid w:val="603863F0"/>
    <w:rsid w:val="605849BF"/>
    <w:rsid w:val="60892F41"/>
    <w:rsid w:val="609A12F1"/>
    <w:rsid w:val="60A364E6"/>
    <w:rsid w:val="60DB2B68"/>
    <w:rsid w:val="6113030D"/>
    <w:rsid w:val="61BA031A"/>
    <w:rsid w:val="61C7423C"/>
    <w:rsid w:val="629114D1"/>
    <w:rsid w:val="633F71E8"/>
    <w:rsid w:val="634D2A75"/>
    <w:rsid w:val="63B71897"/>
    <w:rsid w:val="64207CFD"/>
    <w:rsid w:val="64900D6E"/>
    <w:rsid w:val="64A66197"/>
    <w:rsid w:val="64ED16D9"/>
    <w:rsid w:val="64F62DB2"/>
    <w:rsid w:val="65FBE2E4"/>
    <w:rsid w:val="66033A7B"/>
    <w:rsid w:val="66683674"/>
    <w:rsid w:val="66C60E3F"/>
    <w:rsid w:val="66EB60E9"/>
    <w:rsid w:val="673E2190"/>
    <w:rsid w:val="676B0588"/>
    <w:rsid w:val="67721777"/>
    <w:rsid w:val="68324798"/>
    <w:rsid w:val="68652D73"/>
    <w:rsid w:val="68653B68"/>
    <w:rsid w:val="68B8655E"/>
    <w:rsid w:val="69A31BE4"/>
    <w:rsid w:val="6A3416A8"/>
    <w:rsid w:val="6C6A7869"/>
    <w:rsid w:val="6C8E589F"/>
    <w:rsid w:val="6CFFBEDD"/>
    <w:rsid w:val="6D9B158F"/>
    <w:rsid w:val="6DF79667"/>
    <w:rsid w:val="6EB072A6"/>
    <w:rsid w:val="6EBC18A9"/>
    <w:rsid w:val="6EFD5FAC"/>
    <w:rsid w:val="6EFE88EA"/>
    <w:rsid w:val="6F0C2711"/>
    <w:rsid w:val="6F3644A0"/>
    <w:rsid w:val="6F6E4FAC"/>
    <w:rsid w:val="6F6F3466"/>
    <w:rsid w:val="6F890B1A"/>
    <w:rsid w:val="70C269D0"/>
    <w:rsid w:val="710B074B"/>
    <w:rsid w:val="710D6FDF"/>
    <w:rsid w:val="71283836"/>
    <w:rsid w:val="717405BF"/>
    <w:rsid w:val="71AF49AC"/>
    <w:rsid w:val="71E906CF"/>
    <w:rsid w:val="728672AA"/>
    <w:rsid w:val="72921A13"/>
    <w:rsid w:val="72BF104D"/>
    <w:rsid w:val="72CF4806"/>
    <w:rsid w:val="72E15C68"/>
    <w:rsid w:val="73843BC3"/>
    <w:rsid w:val="7389665F"/>
    <w:rsid w:val="73A31DEF"/>
    <w:rsid w:val="73C30951"/>
    <w:rsid w:val="74705357"/>
    <w:rsid w:val="748638E0"/>
    <w:rsid w:val="74D20C18"/>
    <w:rsid w:val="74D74B52"/>
    <w:rsid w:val="75487AC7"/>
    <w:rsid w:val="755B6C00"/>
    <w:rsid w:val="757535C5"/>
    <w:rsid w:val="75EF1079"/>
    <w:rsid w:val="75FF9075"/>
    <w:rsid w:val="76755F27"/>
    <w:rsid w:val="77BF48E5"/>
    <w:rsid w:val="77E85332"/>
    <w:rsid w:val="77FFA153"/>
    <w:rsid w:val="787B13A0"/>
    <w:rsid w:val="78F71711"/>
    <w:rsid w:val="793D711A"/>
    <w:rsid w:val="797E7615"/>
    <w:rsid w:val="798B0C07"/>
    <w:rsid w:val="79E97DC5"/>
    <w:rsid w:val="7A2E4471"/>
    <w:rsid w:val="7AA96446"/>
    <w:rsid w:val="7B095625"/>
    <w:rsid w:val="7B390A72"/>
    <w:rsid w:val="7BEBCDF4"/>
    <w:rsid w:val="7C6018CD"/>
    <w:rsid w:val="7C7F48BB"/>
    <w:rsid w:val="7C907B6C"/>
    <w:rsid w:val="7CA2186F"/>
    <w:rsid w:val="7D8A3FB2"/>
    <w:rsid w:val="7DF01A9A"/>
    <w:rsid w:val="7DF3C2CE"/>
    <w:rsid w:val="7E100BD1"/>
    <w:rsid w:val="7E261C7F"/>
    <w:rsid w:val="7EFFC9CE"/>
    <w:rsid w:val="7F6645BA"/>
    <w:rsid w:val="7FDF912F"/>
    <w:rsid w:val="7FEF8F52"/>
    <w:rsid w:val="7FFC5801"/>
    <w:rsid w:val="7FFFDB41"/>
    <w:rsid w:val="9ADB649F"/>
    <w:rsid w:val="9F565DFC"/>
    <w:rsid w:val="B1FD3DA3"/>
    <w:rsid w:val="BA7B23C6"/>
    <w:rsid w:val="BDFBBDA4"/>
    <w:rsid w:val="C3F3558F"/>
    <w:rsid w:val="D7FFDFEA"/>
    <w:rsid w:val="DA7FF56F"/>
    <w:rsid w:val="DB7BB9D9"/>
    <w:rsid w:val="DB7EC8A1"/>
    <w:rsid w:val="DC202B2C"/>
    <w:rsid w:val="DCBB36B1"/>
    <w:rsid w:val="DE0200E3"/>
    <w:rsid w:val="DEFB1650"/>
    <w:rsid w:val="E3F516A0"/>
    <w:rsid w:val="E5EF47E6"/>
    <w:rsid w:val="E6F7C630"/>
    <w:rsid w:val="EDF70189"/>
    <w:rsid w:val="EE5F4573"/>
    <w:rsid w:val="EFC6690B"/>
    <w:rsid w:val="F3FC03C6"/>
    <w:rsid w:val="F7EFD77D"/>
    <w:rsid w:val="F7FA0261"/>
    <w:rsid w:val="FADF99DE"/>
    <w:rsid w:val="FB5E3815"/>
    <w:rsid w:val="FBFB752B"/>
    <w:rsid w:val="FBFDA874"/>
    <w:rsid w:val="FC9774B1"/>
    <w:rsid w:val="FD6A3FB1"/>
    <w:rsid w:val="FDFBF676"/>
    <w:rsid w:val="FEB40910"/>
    <w:rsid w:val="FEF3E561"/>
    <w:rsid w:val="FEFF7032"/>
    <w:rsid w:val="FF7FB9C5"/>
    <w:rsid w:val="FFDE2A12"/>
    <w:rsid w:val="FFF77A1D"/>
    <w:rsid w:val="FFFC4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Calibri" w:hAnsi="Calibri" w:eastAsia="华康简标题宋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</w:pPr>
    <w:rPr>
      <w:rFonts w:eastAsia="宋体"/>
      <w:sz w:val="30"/>
      <w:szCs w:val="24"/>
    </w:rPr>
  </w:style>
  <w:style w:type="paragraph" w:styleId="5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kern w:val="10"/>
      <w:sz w:val="21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qFormat/>
    <w:uiPriority w:val="0"/>
    <w:pPr>
      <w:jc w:val="left"/>
    </w:pPr>
    <w:rPr>
      <w:rFonts w:ascii="仿宋_GB2312"/>
      <w:color w:val="000000"/>
      <w:sz w:val="28"/>
    </w:rPr>
  </w:style>
  <w:style w:type="paragraph" w:styleId="9">
    <w:name w:val="Body Text Indent"/>
    <w:basedOn w:val="1"/>
    <w:next w:val="10"/>
    <w:link w:val="28"/>
    <w:qFormat/>
    <w:uiPriority w:val="0"/>
    <w:pPr>
      <w:spacing w:line="240" w:lineRule="auto"/>
      <w:ind w:firstLine="645"/>
    </w:pPr>
    <w:rPr>
      <w:rFonts w:ascii="仿宋_GB2312"/>
      <w:b/>
    </w:rPr>
  </w:style>
  <w:style w:type="paragraph" w:styleId="10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Plain Text"/>
    <w:basedOn w:val="1"/>
    <w:qFormat/>
    <w:uiPriority w:val="0"/>
    <w:pPr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12">
    <w:name w:val="Date"/>
    <w:basedOn w:val="1"/>
    <w:next w:val="1"/>
    <w:qFormat/>
    <w:uiPriority w:val="0"/>
    <w:pPr>
      <w:spacing w:line="240" w:lineRule="auto"/>
      <w:ind w:left="100" w:leftChars="2500"/>
    </w:pPr>
    <w:rPr>
      <w:rFonts w:ascii="仿宋_GB2312"/>
      <w:sz w:val="30"/>
      <w:szCs w:val="24"/>
    </w:rPr>
  </w:style>
  <w:style w:type="paragraph" w:styleId="13">
    <w:name w:val="Body Text Indent 2"/>
    <w:basedOn w:val="1"/>
    <w:qFormat/>
    <w:uiPriority w:val="0"/>
    <w:pPr>
      <w:spacing w:line="240" w:lineRule="auto"/>
      <w:ind w:right="384" w:rightChars="183" w:firstLine="637" w:firstLineChars="199"/>
    </w:pPr>
    <w:rPr>
      <w:szCs w:val="24"/>
    </w:rPr>
  </w:style>
  <w:style w:type="paragraph" w:styleId="14">
    <w:name w:val="Balloon Text"/>
    <w:basedOn w:val="1"/>
    <w:semiHidden/>
    <w:qFormat/>
    <w:uiPriority w:val="0"/>
    <w:pPr>
      <w:spacing w:line="240" w:lineRule="auto"/>
    </w:pPr>
    <w:rPr>
      <w:rFonts w:eastAsia="宋体"/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Body Text Indent 3"/>
    <w:basedOn w:val="1"/>
    <w:qFormat/>
    <w:uiPriority w:val="0"/>
    <w:pPr>
      <w:spacing w:line="240" w:lineRule="auto"/>
      <w:ind w:firstLine="480" w:firstLineChars="200"/>
    </w:pPr>
    <w:rPr>
      <w:rFonts w:eastAsia="宋体"/>
      <w:sz w:val="24"/>
    </w:rPr>
  </w:style>
  <w:style w:type="paragraph" w:styleId="17">
    <w:name w:val="Body Text 2"/>
    <w:basedOn w:val="1"/>
    <w:qFormat/>
    <w:uiPriority w:val="0"/>
    <w:pPr>
      <w:jc w:val="center"/>
    </w:pPr>
    <w:rPr>
      <w:rFonts w:ascii="华康简标题宋" w:eastAsia="华康简标题宋"/>
      <w:sz w:val="44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黑体" w:hAnsi="Courier New" w:eastAsia="黑体" w:cs="Courier New"/>
      <w:kern w:val="0"/>
      <w:sz w:val="20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</w:rPr>
  </w:style>
  <w:style w:type="paragraph" w:styleId="20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paragraph" w:styleId="21">
    <w:name w:val="Body Text First Indent 2"/>
    <w:basedOn w:val="9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table" w:styleId="23">
    <w:name w:val="Table Grid"/>
    <w:basedOn w:val="2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0"/>
    <w:rPr>
      <w:b/>
    </w:rPr>
  </w:style>
  <w:style w:type="character" w:styleId="26">
    <w:name w:val="page number"/>
    <w:qFormat/>
    <w:uiPriority w:val="0"/>
  </w:style>
  <w:style w:type="character" w:styleId="27">
    <w:name w:val="Hyperlink"/>
    <w:qFormat/>
    <w:uiPriority w:val="0"/>
    <w:rPr>
      <w:color w:val="0000FF"/>
      <w:u w:val="single"/>
    </w:rPr>
  </w:style>
  <w:style w:type="character" w:customStyle="1" w:styleId="28">
    <w:name w:val="正文文本缩进 Char"/>
    <w:link w:val="9"/>
    <w:qFormat/>
    <w:uiPriority w:val="0"/>
    <w:rPr>
      <w:rFonts w:ascii="仿宋_GB2312" w:eastAsia="仿宋_GB2312"/>
      <w:b/>
      <w:kern w:val="2"/>
      <w:sz w:val="32"/>
      <w:lang w:val="en-US" w:eastAsia="zh-CN" w:bidi="ar-SA"/>
    </w:rPr>
  </w:style>
  <w:style w:type="character" w:customStyle="1" w:styleId="29">
    <w:name w:val="zt5"/>
    <w:qFormat/>
    <w:uiPriority w:val="0"/>
  </w:style>
  <w:style w:type="character" w:customStyle="1" w:styleId="30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3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lang w:eastAsia="en-US"/>
    </w:rPr>
  </w:style>
  <w:style w:type="paragraph" w:customStyle="1" w:styleId="32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33">
    <w:name w:val="第二层"/>
    <w:basedOn w:val="1"/>
    <w:qFormat/>
    <w:uiPriority w:val="0"/>
    <w:pPr>
      <w:spacing w:line="240" w:lineRule="auto"/>
    </w:pPr>
    <w:rPr>
      <w:rFonts w:ascii="宋体" w:hAnsi="宋体" w:eastAsia="黑体" w:cs="宋体"/>
      <w:sz w:val="28"/>
      <w:szCs w:val="28"/>
    </w:rPr>
  </w:style>
  <w:style w:type="paragraph" w:customStyle="1" w:styleId="34">
    <w:name w:val="xl24"/>
    <w:basedOn w:val="1"/>
    <w:qFormat/>
    <w:uiPriority w:val="0"/>
    <w:pPr>
      <w:widowControl/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kern w:val="0"/>
      <w:sz w:val="40"/>
      <w:szCs w:val="40"/>
    </w:rPr>
  </w:style>
  <w:style w:type="paragraph" w:customStyle="1" w:styleId="3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4"/>
      <w:szCs w:val="24"/>
    </w:rPr>
  </w:style>
  <w:style w:type="paragraph" w:customStyle="1" w:styleId="36">
    <w:name w:val="xl4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2"/>
      <w:szCs w:val="22"/>
    </w:rPr>
  </w:style>
  <w:style w:type="paragraph" w:customStyle="1" w:styleId="3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38">
    <w:name w:val="xl34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39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kern w:val="0"/>
      <w:sz w:val="24"/>
      <w:szCs w:val="24"/>
    </w:rPr>
  </w:style>
  <w:style w:type="paragraph" w:customStyle="1" w:styleId="40">
    <w:name w:val=" Char1 Char Char Char"/>
    <w:basedOn w:val="1"/>
    <w:qFormat/>
    <w:uiPriority w:val="0"/>
    <w:rPr>
      <w:sz w:val="30"/>
      <w:szCs w:val="24"/>
    </w:rPr>
  </w:style>
  <w:style w:type="paragraph" w:customStyle="1" w:styleId="41">
    <w:name w:val="Char1 Char Char Char Char Char Char"/>
    <w:basedOn w:val="1"/>
    <w:qFormat/>
    <w:uiPriority w:val="0"/>
    <w:pPr>
      <w:spacing w:line="240" w:lineRule="auto"/>
    </w:pPr>
    <w:rPr>
      <w:rFonts w:ascii="Tahoma" w:hAnsi="Tahoma" w:eastAsia="宋体"/>
      <w:sz w:val="24"/>
    </w:rPr>
  </w:style>
  <w:style w:type="paragraph" w:customStyle="1" w:styleId="42">
    <w:name w:val="xl33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2"/>
      <w:szCs w:val="22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44">
    <w:name w:val="xl39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hint="eastAsia" w:ascii="仿宋_GB2312" w:hAnsi="宋体"/>
      <w:b/>
      <w:bCs/>
      <w:kern w:val="0"/>
      <w:sz w:val="40"/>
      <w:szCs w:val="40"/>
    </w:rPr>
  </w:style>
  <w:style w:type="paragraph" w:customStyle="1" w:styleId="45">
    <w:name w:val="xl35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hAnsi="宋体" w:eastAsia="宋体"/>
      <w:kern w:val="0"/>
      <w:sz w:val="22"/>
      <w:szCs w:val="22"/>
    </w:rPr>
  </w:style>
  <w:style w:type="paragraph" w:customStyle="1" w:styleId="46">
    <w:name w:val="p0"/>
    <w:basedOn w:val="1"/>
    <w:qFormat/>
    <w:uiPriority w:val="0"/>
    <w:pPr>
      <w:widowControl/>
      <w:spacing w:line="580" w:lineRule="atLeast"/>
    </w:pPr>
    <w:rPr>
      <w:rFonts w:eastAsia="宋体"/>
      <w:kern w:val="0"/>
      <w:szCs w:val="32"/>
    </w:rPr>
  </w:style>
  <w:style w:type="paragraph" w:customStyle="1" w:styleId="47">
    <w:name w:val="xl3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4"/>
      <w:szCs w:val="24"/>
    </w:rPr>
  </w:style>
  <w:style w:type="paragraph" w:customStyle="1" w:styleId="48">
    <w:name w:val="font7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2"/>
      <w:szCs w:val="22"/>
    </w:rPr>
  </w:style>
  <w:style w:type="paragraph" w:customStyle="1" w:styleId="49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kern w:val="0"/>
      <w:sz w:val="24"/>
      <w:szCs w:val="24"/>
    </w:rPr>
  </w:style>
  <w:style w:type="paragraph" w:customStyle="1" w:styleId="50">
    <w:name w:val=" Char"/>
    <w:basedOn w:val="6"/>
    <w:qFormat/>
    <w:uiPriority w:val="0"/>
    <w:pPr>
      <w:spacing w:line="240" w:lineRule="auto"/>
    </w:pPr>
    <w:rPr>
      <w:rFonts w:ascii="Tahoma" w:hAnsi="Tahoma" w:eastAsia="宋体"/>
      <w:sz w:val="24"/>
      <w:szCs w:val="24"/>
    </w:rPr>
  </w:style>
  <w:style w:type="paragraph" w:customStyle="1" w:styleId="51">
    <w:name w:val="xl37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hint="eastAsia" w:ascii="仿宋_GB2312" w:hAnsi="宋体"/>
      <w:kern w:val="0"/>
      <w:sz w:val="22"/>
      <w:szCs w:val="22"/>
    </w:rPr>
  </w:style>
  <w:style w:type="paragraph" w:customStyle="1" w:styleId="5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kern w:val="0"/>
      <w:sz w:val="24"/>
      <w:szCs w:val="24"/>
    </w:rPr>
  </w:style>
  <w:style w:type="paragraph" w:customStyle="1" w:styleId="53">
    <w:name w:val="xl29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4"/>
      <w:szCs w:val="24"/>
    </w:rPr>
  </w:style>
  <w:style w:type="paragraph" w:customStyle="1" w:styleId="54">
    <w:name w:val="xl3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55">
    <w:name w:val="xl32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top"/>
    </w:pPr>
    <w:rPr>
      <w:rFonts w:hint="eastAsia" w:ascii="仿宋_GB2312" w:hAnsi="宋体"/>
      <w:kern w:val="0"/>
      <w:sz w:val="22"/>
      <w:szCs w:val="22"/>
    </w:rPr>
  </w:style>
  <w:style w:type="paragraph" w:customStyle="1" w:styleId="56">
    <w:name w:val="xl38"/>
    <w:basedOn w:val="1"/>
    <w:qFormat/>
    <w:uiPriority w:val="0"/>
    <w:pPr>
      <w:widowControl/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/>
      <w:b/>
      <w:bCs/>
      <w:kern w:val="0"/>
      <w:sz w:val="40"/>
      <w:szCs w:val="40"/>
    </w:rPr>
  </w:style>
  <w:style w:type="paragraph" w:customStyle="1" w:styleId="57">
    <w:name w:val="样式 (中文) 楷体_GB2312 小三 首行缩进:  0.79 厘米 行距: 固定值 28 磅"/>
    <w:basedOn w:val="1"/>
    <w:qFormat/>
    <w:uiPriority w:val="0"/>
    <w:pPr>
      <w:spacing w:line="560" w:lineRule="exact"/>
      <w:ind w:firstLine="450"/>
    </w:pPr>
    <w:rPr>
      <w:rFonts w:eastAsia="楷体_GB2312"/>
    </w:rPr>
  </w:style>
  <w:style w:type="paragraph" w:customStyle="1" w:styleId="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hint="eastAsia" w:ascii="仿宋_GB2312" w:hAnsi="宋体"/>
      <w:kern w:val="0"/>
      <w:sz w:val="24"/>
      <w:szCs w:val="24"/>
    </w:rPr>
  </w:style>
  <w:style w:type="paragraph" w:customStyle="1" w:styleId="59">
    <w:name w:val="xl26"/>
    <w:basedOn w:val="1"/>
    <w:qFormat/>
    <w:uiPriority w:val="0"/>
    <w:pPr>
      <w:widowControl/>
      <w:spacing w:before="100" w:beforeAutospacing="1" w:after="100" w:afterAutospacing="1" w:line="240" w:lineRule="auto"/>
      <w:jc w:val="left"/>
      <w:textAlignment w:val="center"/>
    </w:pPr>
    <w:rPr>
      <w:rFonts w:hint="eastAsia" w:ascii="仿宋_GB2312" w:hAnsi="宋体"/>
      <w:kern w:val="0"/>
      <w:sz w:val="40"/>
      <w:szCs w:val="40"/>
    </w:rPr>
  </w:style>
  <w:style w:type="paragraph" w:customStyle="1" w:styleId="60">
    <w:name w:val="font6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eastAsia="宋体"/>
      <w:kern w:val="0"/>
      <w:sz w:val="22"/>
      <w:szCs w:val="22"/>
    </w:rPr>
  </w:style>
  <w:style w:type="paragraph" w:customStyle="1" w:styleId="61">
    <w:name w:val="xl2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仿宋_GB2312" w:hAnsi="宋体"/>
      <w:kern w:val="0"/>
      <w:sz w:val="22"/>
      <w:szCs w:val="22"/>
    </w:rPr>
  </w:style>
  <w:style w:type="paragraph" w:customStyle="1" w:styleId="62">
    <w:name w:val="Char"/>
    <w:basedOn w:val="6"/>
    <w:qFormat/>
    <w:uiPriority w:val="0"/>
    <w:pPr>
      <w:spacing w:line="240" w:lineRule="auto"/>
    </w:pPr>
    <w:rPr>
      <w:rFonts w:ascii="Tahoma" w:hAnsi="Tahoma" w:eastAsia="宋体"/>
      <w:sz w:val="24"/>
      <w:szCs w:val="24"/>
    </w:rPr>
  </w:style>
  <w:style w:type="paragraph" w:customStyle="1" w:styleId="63">
    <w:name w:val="font5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hint="eastAsia" w:ascii="宋体" w:hAnsi="宋体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950</Words>
  <Characters>5421</Characters>
  <Lines>45</Lines>
  <Paragraphs>12</Paragraphs>
  <TotalTime>0</TotalTime>
  <ScaleCrop>false</ScaleCrop>
  <LinksUpToDate>false</LinksUpToDate>
  <CharactersWithSpaces>6359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2016-01-17T22:37:00Z</dcterms:created>
  <dc:creator>赵绘图</dc:creator>
  <cp:lastModifiedBy>chenfang</cp:lastModifiedBy>
  <cp:lastPrinted>2022-08-20T11:41:00Z</cp:lastPrinted>
  <dcterms:modified xsi:type="dcterms:W3CDTF">2022-09-03T07:29:31Z</dcterms:modified>
  <dc:title>国粮发[2000]32号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1CC6266478D44EAA83E8756D4A725FEA</vt:lpwstr>
  </property>
</Properties>
</file>