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Cs w:val="32"/>
        </w:rPr>
      </w:pPr>
      <w:bookmarkStart w:id="0" w:name="_Toc10448"/>
      <w:r>
        <w:rPr>
          <w:rFonts w:hint="eastAsia" w:ascii="黑体" w:hAnsi="黑体" w:eastAsia="黑体" w:cs="黑体"/>
          <w:b/>
          <w:bCs/>
          <w:color w:val="000000"/>
          <w:szCs w:val="32"/>
        </w:rPr>
        <w:t>附件1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both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辽宁省深入推进优质粮食工程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粮食绿色仓储提升行动实施方案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（试行）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both"/>
        <w:textAlignment w:val="auto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ascii="仿宋_GB2312" w:hAnsi="仿宋_GB2312" w:cs="仿宋_GB2312"/>
          <w:bCs/>
          <w:spacing w:val="5"/>
          <w:sz w:val="32"/>
          <w:szCs w:val="32"/>
        </w:rPr>
      </w:pPr>
      <w:r>
        <w:rPr>
          <w:rFonts w:hint="eastAsia" w:ascii="仿宋_GB2312" w:hAnsi="仿宋_GB2312" w:cs="仿宋_GB2312"/>
          <w:spacing w:val="5"/>
          <w:sz w:val="32"/>
          <w:szCs w:val="32"/>
        </w:rPr>
        <w:t>为深入贯彻习近平总书记关于深入推进优质粮食工程、做好粮食市场和流通文章的重要指示精神，认真落实党中央、国务院有关决策部署，根据</w:t>
      </w: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《财政部</w:t>
      </w:r>
      <w:r>
        <w:rPr>
          <w:rFonts w:hint="eastAsia" w:ascii="仿宋_GB2312" w:hAnsi="仿宋_GB2312" w:cs="仿宋_GB2312"/>
          <w:bCs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国家粮食和物资储备局关于深入推进优质粮食工程的意见》（财建〔2021〕177号）、《国家粮食和物资储备局关于印发优质粮食工程“六大提升行动”方案的通知》（国粮规〔2021〕236号）、《辽宁省粮食和物资储备局</w:t>
      </w:r>
      <w:r>
        <w:rPr>
          <w:rFonts w:hint="eastAsia" w:ascii="仿宋_GB2312" w:hAnsi="仿宋_GB2312" w:cs="仿宋_GB2312"/>
          <w:bCs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辽宁省财政厅关于深入推进优质粮食工程的意见》（辽粮发〔2021〕96号）有关要求，依据《国家发展改革委、国家粮食和物资储备局关于印发&lt;粮食等重要农产品仓储设施中央预算内投资专项管理办法&gt;的通知》（发改经贸规〔2021〕568号）有关规定，结合本省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ascii="黑体" w:hAnsi="黑体" w:eastAsia="黑体" w:cs="楷体_GB2312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 w:cs="楷体_GB2312"/>
          <w:b w:val="0"/>
          <w:bCs w:val="0"/>
          <w:spacing w:val="5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ascii="仿宋_GB2312" w:hAnsi="仿宋_GB2312" w:cs="仿宋_GB2312"/>
          <w:bCs/>
          <w:strike/>
          <w:spacing w:val="5"/>
          <w:sz w:val="32"/>
          <w:szCs w:val="32"/>
        </w:rPr>
      </w:pP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以习近平新时代中国特色社会主义思想为指导，</w:t>
      </w:r>
      <w:r>
        <w:rPr>
          <w:rFonts w:ascii="仿宋_GB2312" w:hAnsi="仿宋_GB2312" w:cs="仿宋_GB2312"/>
          <w:bCs/>
          <w:spacing w:val="5"/>
          <w:sz w:val="32"/>
          <w:szCs w:val="32"/>
          <w:lang w:val="en"/>
        </w:rPr>
        <w:t>深入落实保障国家粮食安全战略，紧扣绿色、生态、环保、节能要求，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聚焦国家粮食储备安全核心职能，以提升绿色仓储水平为抓手，</w:t>
      </w:r>
      <w:r>
        <w:rPr>
          <w:rFonts w:hint="eastAsia" w:ascii="仿宋_GB2312" w:hAnsi="仿宋_GB2312" w:cs="仿宋_GB2312"/>
          <w:spacing w:val="5"/>
          <w:sz w:val="32"/>
          <w:szCs w:val="32"/>
          <w:lang w:val="en"/>
        </w:rPr>
        <w:t>深入推进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优质粮食工程</w:t>
      </w:r>
      <w:r>
        <w:rPr>
          <w:rFonts w:hint="eastAsia" w:ascii="仿宋_GB2312" w:hAnsi="仿宋_GB2312" w:cs="仿宋_GB2312"/>
          <w:spacing w:val="5"/>
          <w:sz w:val="32"/>
          <w:szCs w:val="32"/>
          <w:lang w:val="en"/>
        </w:rPr>
        <w:t>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持续提高科学储粮水平和品质保障能力，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切实提升储备粮质量，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增加绿色优质粮油产品有效供给，着力</w:t>
      </w: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推动</w:t>
      </w:r>
      <w:r>
        <w:rPr>
          <w:rFonts w:ascii="仿宋_GB2312" w:hAnsi="仿宋_GB2312" w:cs="仿宋_GB2312"/>
          <w:bCs/>
          <w:spacing w:val="5"/>
          <w:sz w:val="32"/>
          <w:szCs w:val="32"/>
          <w:lang w:val="en"/>
        </w:rPr>
        <w:t>粮食储备</w:t>
      </w: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高质量发展，</w:t>
      </w:r>
      <w:r>
        <w:rPr>
          <w:rFonts w:ascii="仿宋_GB2312" w:hAnsi="仿宋_GB2312" w:cs="仿宋_GB2312"/>
          <w:bCs/>
          <w:spacing w:val="5"/>
          <w:sz w:val="32"/>
          <w:szCs w:val="32"/>
          <w:lang w:val="en"/>
        </w:rPr>
        <w:t>更好保障粮食安全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hint="eastAsia" w:ascii="黑体" w:hAnsi="黑体" w:eastAsia="黑体" w:cs="楷体_GB2312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 w:cs="楷体_GB2312"/>
          <w:b w:val="0"/>
          <w:bCs w:val="0"/>
          <w:spacing w:val="5"/>
          <w:sz w:val="32"/>
          <w:szCs w:val="32"/>
        </w:rPr>
        <w:t>二、总体思路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0" w:firstLineChars="200"/>
        <w:jc w:val="both"/>
        <w:textAlignment w:val="auto"/>
        <w:rPr>
          <w:rFonts w:ascii="仿宋_GB2312" w:hAnsi="仿宋_GB2312" w:cs="仿宋_GB2312"/>
          <w:bCs/>
          <w:spacing w:val="5"/>
          <w:sz w:val="32"/>
          <w:szCs w:val="32"/>
        </w:rPr>
      </w:pPr>
      <w:r>
        <w:rPr>
          <w:rFonts w:hint="eastAsia" w:ascii="仿宋_GB2312" w:hAnsi="黑体" w:cs="仿宋"/>
          <w:sz w:val="32"/>
          <w:szCs w:val="32"/>
        </w:rPr>
        <w:t>以全省粮食储备安全为核心，坚持扶优扶强和乡村振兴相结合，深度融合“辽宁好粮油”行动计划，</w:t>
      </w:r>
      <w:r>
        <w:rPr>
          <w:rFonts w:hint="eastAsia" w:ascii="仿宋_GB2312" w:hAnsi="楷体_GB2312" w:cs="楷体_GB2312"/>
          <w:spacing w:val="5"/>
          <w:sz w:val="32"/>
          <w:szCs w:val="32"/>
        </w:rPr>
        <w:t>突出质效、功用适配，</w:t>
      </w:r>
      <w:r>
        <w:rPr>
          <w:rFonts w:hint="eastAsia" w:ascii="仿宋_GB2312" w:hAnsi="仿宋_GB2312" w:cs="仿宋_GB2312"/>
          <w:bCs/>
          <w:spacing w:val="5"/>
          <w:sz w:val="32"/>
          <w:szCs w:val="32"/>
          <w:lang w:val="en"/>
        </w:rPr>
        <w:t>推广应用绿色储粮技术，</w:t>
      </w:r>
      <w:r>
        <w:rPr>
          <w:rFonts w:ascii="仿宋_GB2312" w:hAnsi="仿宋_GB2312" w:cs="仿宋_GB2312"/>
          <w:bCs/>
          <w:spacing w:val="5"/>
          <w:sz w:val="32"/>
          <w:szCs w:val="32"/>
          <w:lang w:val="en"/>
        </w:rPr>
        <w:t>加强储备环节精细化管理。</w:t>
      </w:r>
      <w:r>
        <w:rPr>
          <w:rFonts w:hint="eastAsia" w:ascii="仿宋_GB2312" w:hAnsi="仿宋_GB2312" w:cs="仿宋_GB2312"/>
          <w:bCs/>
          <w:spacing w:val="5"/>
          <w:sz w:val="32"/>
          <w:szCs w:val="32"/>
          <w:lang w:val="en"/>
        </w:rPr>
        <w:t>发挥绿色仓储传导作用，</w:t>
      </w:r>
      <w:r>
        <w:rPr>
          <w:rFonts w:ascii="仿宋_GB2312" w:hAnsi="仿宋_GB2312" w:cs="仿宋_GB2312"/>
          <w:bCs/>
          <w:spacing w:val="5"/>
          <w:sz w:val="32"/>
          <w:szCs w:val="32"/>
          <w:lang w:val="en"/>
        </w:rPr>
        <w:t>推进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储备和产业衔接，在“产购储加销”体系中凸显仓储特别是政府储备仓储的核心竞争力，推动仓储向两端延伸，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促进</w:t>
      </w:r>
      <w:r>
        <w:rPr>
          <w:rFonts w:hint="eastAsia" w:ascii="仿宋_GB2312" w:hAnsi="仿宋_GB2312" w:cs="仿宋_GB2312"/>
          <w:spacing w:val="5"/>
          <w:sz w:val="32"/>
          <w:szCs w:val="32"/>
          <w:lang w:val="en"/>
        </w:rPr>
        <w:t>“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五优联动</w:t>
      </w:r>
      <w:r>
        <w:rPr>
          <w:rFonts w:hint="eastAsia" w:ascii="仿宋_GB2312" w:hAnsi="仿宋_GB2312" w:cs="仿宋_GB2312"/>
          <w:spacing w:val="5"/>
          <w:sz w:val="32"/>
          <w:szCs w:val="32"/>
          <w:lang w:val="en"/>
        </w:rPr>
        <w:t>”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。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科学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合理选配应用仓储设施设备和绿色储粮技术工艺，着力补短板、强弱项、促升级，注重系统增效。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hint="eastAsia" w:ascii="黑体" w:hAnsi="黑体" w:eastAsia="黑体" w:cs="仿宋_GB2312"/>
          <w:b w:val="0"/>
          <w:bCs/>
          <w:spacing w:val="5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spacing w:val="5"/>
          <w:sz w:val="32"/>
          <w:szCs w:val="32"/>
        </w:rPr>
        <w:t>三、建设目标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ascii="仿宋_GB2312" w:hAnsi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cs="仿宋_GB2312"/>
          <w:spacing w:val="5"/>
          <w:sz w:val="32"/>
          <w:szCs w:val="32"/>
        </w:rPr>
        <w:t>“十四五”期间，重点升级改造条件较好的现有储备类仓房，结合</w:t>
      </w:r>
      <w:r>
        <w:rPr>
          <w:rFonts w:hint="eastAsia" w:ascii="仿宋_GB2312" w:hAnsi="仿宋_GB2312" w:cs="仿宋_GB2312"/>
          <w:spacing w:val="5"/>
          <w:sz w:val="32"/>
          <w:szCs w:val="32"/>
          <w:lang w:eastAsia="zh-CN"/>
        </w:rPr>
        <w:t>全省粮食物流枢纽、节点布局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，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加强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高标准粮仓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建设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，配备先进适用技术条件，完善绿色储粮功能；优化仓储作业流程，减少库区扬尘、噪音。到</w:t>
      </w:r>
      <w:r>
        <w:rPr>
          <w:rFonts w:ascii="仿宋_GB2312" w:hAnsi="仿宋_GB2312" w:cs="仿宋_GB2312"/>
          <w:spacing w:val="5"/>
          <w:sz w:val="32"/>
          <w:szCs w:val="32"/>
        </w:rPr>
        <w:t>2025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年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力争政府储备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基本实现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控温储藏保质保鲜、药剂使用减量增效、仓储作业环境</w:t>
      </w:r>
      <w:r>
        <w:rPr>
          <w:rFonts w:hint="eastAsia" w:ascii="仿宋_GB2312" w:hAnsi="仿宋_GB2312" w:cs="仿宋_GB2312"/>
          <w:spacing w:val="5"/>
          <w:sz w:val="32"/>
          <w:szCs w:val="32"/>
          <w:lang w:eastAsia="zh-CN"/>
        </w:rPr>
        <w:t>良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hint="eastAsia" w:ascii="黑体" w:hAnsi="黑体" w:eastAsia="黑体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5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 w:val="0"/>
          <w:bCs w:val="0"/>
          <w:spacing w:val="5"/>
          <w:sz w:val="32"/>
          <w:szCs w:val="32"/>
        </w:rPr>
        <w:t>、实施主体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hint="eastAsia" w:ascii="仿宋_GB2312" w:hAnsi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cs="仿宋_GB2312"/>
          <w:spacing w:val="5"/>
          <w:sz w:val="32"/>
          <w:szCs w:val="32"/>
          <w:lang w:eastAsia="zh-CN"/>
        </w:rPr>
        <w:t>重点龙头骨干企业，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自有土地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具有环评和能评报告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年粮食年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销售收入不低于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具有上一年度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第三方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财务审计报告，除去政策性业务后，企业资产负债率不高于70%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能够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足额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落实自筹资金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信用良好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</w:rPr>
        <w:t>近2年没有不良信用记录，无违法违规行为，无产品质量安全事件及安全生产事故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5"/>
          <w:sz w:val="32"/>
          <w:szCs w:val="32"/>
          <w:lang w:eastAsia="zh-CN"/>
        </w:rPr>
        <w:t>承担政府储备或社会责任储备任务。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ascii="黑体" w:hAnsi="黑体" w:eastAsia="黑体"/>
          <w:b w:val="0"/>
          <w:bCs w:val="0"/>
          <w:spacing w:val="5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5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 w:val="0"/>
          <w:spacing w:val="5"/>
          <w:sz w:val="32"/>
          <w:szCs w:val="32"/>
        </w:rPr>
        <w:t>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3" w:firstLineChars="200"/>
        <w:jc w:val="both"/>
        <w:textAlignment w:val="auto"/>
        <w:rPr>
          <w:rFonts w:hint="eastAsia" w:ascii="仿宋_GB2312" w:hAnsi="仿宋_GB2312" w:cs="仿宋_GB2312"/>
          <w:spacing w:val="5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（一）</w:t>
      </w:r>
      <w:r>
        <w:rPr>
          <w:rFonts w:hint="eastAsia" w:ascii="楷体_GB2312" w:hAnsi="仿宋" w:eastAsia="楷体_GB2312" w:cs="仿宋"/>
          <w:b/>
          <w:sz w:val="32"/>
          <w:szCs w:val="32"/>
        </w:rPr>
        <w:t>建设</w:t>
      </w:r>
      <w:r>
        <w:rPr>
          <w:rFonts w:hint="eastAsia" w:ascii="楷体_GB2312" w:hAnsi="仿宋" w:eastAsia="楷体_GB2312" w:cs="仿宋"/>
          <w:b/>
          <w:sz w:val="32"/>
          <w:szCs w:val="32"/>
          <w:lang w:val="en"/>
        </w:rPr>
        <w:t>高标准粮仓。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改造和新建高标准粮仓，强化粮仓的气密和保温隔热等关键性能。新建仓房屋面宜优先采用整体现浇工艺，对围护结构综合运用动静态结合方式提升保温隔热能力，有条件的可引入仓顶太阳能光伏板、新型辐射制冷材料等。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落实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碳达峰、碳中和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要求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，升级改造和技术应用要注重节能减排，降低能耗、提高效能。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3" w:firstLineChars="200"/>
        <w:jc w:val="both"/>
        <w:textAlignment w:val="auto"/>
        <w:rPr>
          <w:rFonts w:ascii="仿宋_GB2312" w:hAnsi="仿宋_GB2312" w:cs="仿宋_GB2312"/>
          <w:spacing w:val="5"/>
          <w:sz w:val="32"/>
          <w:szCs w:val="32"/>
          <w:lang w:val="en"/>
        </w:rPr>
      </w:pP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（二）</w:t>
      </w:r>
      <w:r>
        <w:rPr>
          <w:rFonts w:hint="eastAsia" w:ascii="楷体_GB2312" w:hAnsi="仿宋" w:eastAsia="楷体_GB2312" w:cs="仿宋"/>
          <w:b/>
          <w:sz w:val="32"/>
          <w:szCs w:val="32"/>
        </w:rPr>
        <w:t>改造提升仓房的气密和保温隔热性能。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立足现有粮仓，加强对粮仓相关性能衰减变化情况的监测，针对仓顶、墙体、门窗、地面、孔洞以及接缝处和向阳面等不同部位具体情况，实施气密和保温隔热升级改造。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按</w:t>
      </w:r>
      <w:r>
        <w:rPr>
          <w:rFonts w:hint="eastAsia" w:ascii="仿宋_GB2312" w:hAnsi="仿宋_GB2312" w:cs="仿宋_GB2312"/>
          <w:spacing w:val="5"/>
          <w:sz w:val="32"/>
          <w:szCs w:val="32"/>
          <w:lang w:val="en"/>
        </w:rPr>
        <w:t>绿色储粮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要求，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提升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粮食企业现有仓储设施</w:t>
      </w:r>
      <w:r>
        <w:rPr>
          <w:rFonts w:hint="eastAsia" w:ascii="仿宋_GB2312" w:hAnsi="仿宋_GB2312" w:cs="仿宋_GB2312"/>
          <w:spacing w:val="5"/>
          <w:sz w:val="32"/>
          <w:szCs w:val="32"/>
          <w:lang w:val="en"/>
        </w:rPr>
        <w:t>性能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，升级改造控温成品粮</w:t>
      </w:r>
      <w:r>
        <w:rPr>
          <w:rFonts w:hint="eastAsia" w:ascii="仿宋_GB2312" w:hAnsi="仿宋_GB2312" w:cs="仿宋_GB2312"/>
          <w:spacing w:val="5"/>
          <w:sz w:val="32"/>
          <w:szCs w:val="32"/>
          <w:lang w:val="en"/>
        </w:rPr>
        <w:t>仓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3" w:firstLineChars="200"/>
        <w:jc w:val="both"/>
        <w:textAlignment w:val="auto"/>
        <w:rPr>
          <w:rFonts w:ascii="仿宋_GB2312" w:hAnsi="仿宋_GB2312" w:cs="仿宋_GB2312"/>
          <w:spacing w:val="5"/>
          <w:sz w:val="32"/>
          <w:szCs w:val="32"/>
          <w:lang w:val="en"/>
        </w:rPr>
      </w:pP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（三）</w:t>
      </w:r>
      <w:r>
        <w:rPr>
          <w:rFonts w:hint="eastAsia" w:ascii="楷体_GB2312" w:hAnsi="仿宋" w:eastAsia="楷体_GB2312" w:cs="仿宋"/>
          <w:b/>
          <w:sz w:val="32"/>
          <w:szCs w:val="32"/>
          <w:lang w:val="en"/>
        </w:rPr>
        <w:t>推广应用</w:t>
      </w:r>
      <w:r>
        <w:rPr>
          <w:rFonts w:hint="eastAsia" w:ascii="楷体_GB2312" w:hAnsi="仿宋" w:eastAsia="楷体_GB2312" w:cs="仿宋"/>
          <w:b/>
          <w:sz w:val="32"/>
          <w:szCs w:val="32"/>
        </w:rPr>
        <w:t>绿色储粮技术。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根据当地和企业情况及实际需要，合理选择应用制冷控温、内环流控温、气调储粮和平房仓横向通风集成等技术，注重成本效益，优化“四合一”储粮技术应用，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实现政府储备粮食绿色仓储全覆盖。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充分发挥政策引导和市场机制作用，加强储粮新技术、新工艺、新材料、新仓型的研发试验、开展适用性研究和推广应用。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3" w:firstLineChars="200"/>
        <w:jc w:val="both"/>
        <w:textAlignment w:val="auto"/>
        <w:rPr>
          <w:rFonts w:ascii="仿宋_GB2312" w:hAnsi="仿宋_GB2312" w:cs="仿宋_GB2312"/>
          <w:spacing w:val="5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（四）</w:t>
      </w:r>
      <w:r>
        <w:rPr>
          <w:rFonts w:hint="eastAsia" w:ascii="楷体_GB2312" w:hAnsi="仿宋" w:eastAsia="楷体_GB2312" w:cs="仿宋"/>
          <w:b/>
          <w:sz w:val="32"/>
          <w:szCs w:val="32"/>
        </w:rPr>
        <w:t>发展多参数多功能粮情测控系统。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积极应用传感器技术，从原来单一的粮温检测向温度、湿度、水分、害虫、霉菌、气体等多参数多功能在线粮情测控转变，加强粮情数据的多样化、自动化采集和中长期积累。鼓励粮食企业应用基于粮堆货位的粮情监测预警模型，完善动态实时智能监测功能，探索建立平台型远程粮情诊断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3" w:firstLineChars="200"/>
        <w:jc w:val="both"/>
        <w:textAlignment w:val="auto"/>
        <w:rPr>
          <w:rFonts w:ascii="仿宋_GB2312" w:hAnsi="仿宋_GB2312" w:cs="仿宋_GB2312"/>
          <w:spacing w:val="5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（五）</w:t>
      </w:r>
      <w:r>
        <w:rPr>
          <w:rFonts w:hint="eastAsia" w:ascii="楷体_GB2312" w:hAnsi="仿宋" w:eastAsia="楷体_GB2312" w:cs="仿宋"/>
          <w:b/>
          <w:sz w:val="32"/>
          <w:szCs w:val="32"/>
        </w:rPr>
        <w:t>提升清理净粮能力。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针对粮库仓储作业扬尘、噪音等问题，对装卸、输送、清理等采取防尘和降噪措施，优化接发和清理工艺，提升设备性能和效率，推动环保高效作业。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3" w:firstLineChars="200"/>
        <w:jc w:val="both"/>
        <w:textAlignment w:val="auto"/>
        <w:rPr>
          <w:rFonts w:hint="eastAsia" w:ascii="仿宋_GB2312" w:hAnsi="仿宋_GB2312" w:cs="仿宋_GB2312"/>
          <w:spacing w:val="5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（六）</w:t>
      </w:r>
      <w:r>
        <w:rPr>
          <w:rFonts w:hint="eastAsia" w:ascii="楷体_GB2312" w:hAnsi="仿宋" w:eastAsia="楷体_GB2312" w:cs="仿宋"/>
          <w:b/>
          <w:sz w:val="32"/>
          <w:szCs w:val="32"/>
        </w:rPr>
        <w:t>推动粮仓分类分级。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制订粮仓分类分级标准，推动低温准低温储藏、参数控制自动通风、气调储粮、人工制冷控制粮温等技术应用，促进绿色仓储规范化管理。根据仓储设施结构、材料及性能和配备的粮情测控、通风、杀虫、制冷等储粮工艺技术级差，开展粮仓科学评价，提高储粮效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hint="eastAsia" w:ascii="黑体" w:hAnsi="黑体" w:eastAsia="黑体"/>
          <w:b w:val="0"/>
          <w:bCs/>
          <w:spacing w:val="5"/>
          <w:sz w:val="32"/>
          <w:szCs w:val="32"/>
        </w:rPr>
      </w:pPr>
      <w:r>
        <w:rPr>
          <w:rFonts w:hint="eastAsia" w:ascii="黑体" w:hAnsi="黑体" w:eastAsia="黑体"/>
          <w:b w:val="0"/>
          <w:bCs/>
          <w:spacing w:val="5"/>
          <w:sz w:val="32"/>
          <w:szCs w:val="32"/>
        </w:rPr>
        <w:t>六、职责分工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43" w:firstLineChars="200"/>
        <w:jc w:val="both"/>
        <w:textAlignment w:val="auto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（一）省粮食和物资储备部门。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编制</w:t>
      </w:r>
      <w:r>
        <w:rPr>
          <w:rFonts w:hint="eastAsia" w:ascii="仿宋_GB2312" w:hAnsi="黑体" w:cs="仿宋"/>
          <w:sz w:val="32"/>
          <w:szCs w:val="32"/>
        </w:rPr>
        <w:t>全省实施方案，</w:t>
      </w:r>
      <w:r>
        <w:rPr>
          <w:rFonts w:hint="eastAsia" w:ascii="仿宋_GB2312" w:hAnsi="黑体" w:cs="仿宋"/>
          <w:sz w:val="32"/>
          <w:szCs w:val="32"/>
          <w:lang w:eastAsia="zh-CN"/>
        </w:rPr>
        <w:t>组织方案备案工作，</w:t>
      </w:r>
      <w:r>
        <w:rPr>
          <w:rFonts w:hint="eastAsia" w:ascii="仿宋_GB2312" w:hAnsi="黑体" w:cs="仿宋"/>
          <w:sz w:val="32"/>
          <w:szCs w:val="32"/>
        </w:rPr>
        <w:t>制定绩效评价考核指标体系</w:t>
      </w:r>
      <w:r>
        <w:rPr>
          <w:rFonts w:hint="eastAsia" w:ascii="仿宋_GB2312" w:hAnsi="黑体" w:cs="仿宋"/>
          <w:sz w:val="32"/>
          <w:szCs w:val="32"/>
          <w:lang w:eastAsia="zh-CN"/>
        </w:rPr>
        <w:t>，开展监督检查等工作</w:t>
      </w:r>
      <w:r>
        <w:rPr>
          <w:rFonts w:hint="eastAsia" w:ascii="仿宋_GB2312" w:hAnsi="黑体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739" w:firstLineChars="230"/>
        <w:jc w:val="both"/>
        <w:textAlignment w:val="auto"/>
        <w:rPr>
          <w:rFonts w:hint="eastAsia" w:ascii="仿宋_GB2312" w:hAnsi="黑体" w:cs="仿宋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（二）</w:t>
      </w: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市</w:t>
      </w:r>
      <w:r>
        <w:rPr>
          <w:rFonts w:hint="eastAsia" w:ascii="楷体_GB2312" w:hAnsi="仿宋" w:eastAsia="楷体_GB2312" w:cs="仿宋"/>
          <w:b/>
          <w:sz w:val="32"/>
          <w:szCs w:val="32"/>
        </w:rPr>
        <w:t>粮食和物资储备部门。</w:t>
      </w:r>
      <w:r>
        <w:rPr>
          <w:rFonts w:hint="eastAsia" w:ascii="仿宋_GB2312" w:hAnsi="黑体" w:cs="仿宋"/>
          <w:sz w:val="32"/>
          <w:szCs w:val="32"/>
        </w:rPr>
        <w:t>编制全市实施方案，对方案的准确性、真实性、可实施性负责。</w:t>
      </w:r>
      <w:r>
        <w:rPr>
          <w:rFonts w:hint="eastAsia" w:ascii="仿宋_GB2312" w:hAnsi="黑体" w:cs="仿宋"/>
          <w:sz w:val="32"/>
          <w:szCs w:val="32"/>
          <w:lang w:eastAsia="zh-CN"/>
        </w:rPr>
        <w:t>强化</w:t>
      </w:r>
      <w:r>
        <w:rPr>
          <w:rFonts w:hint="eastAsia" w:ascii="仿宋_GB2312" w:hAnsi="黑体" w:cs="仿宋"/>
          <w:sz w:val="32"/>
          <w:szCs w:val="32"/>
        </w:rPr>
        <w:t>申报项目审核把关</w:t>
      </w:r>
      <w:r>
        <w:rPr>
          <w:rFonts w:hint="eastAsia" w:ascii="仿宋_GB2312" w:hAnsi="黑体" w:cs="仿宋"/>
          <w:sz w:val="32"/>
          <w:szCs w:val="32"/>
          <w:lang w:eastAsia="zh-CN"/>
        </w:rPr>
        <w:t>，</w:t>
      </w:r>
      <w:r>
        <w:rPr>
          <w:rFonts w:hint="eastAsia" w:ascii="仿宋_GB2312" w:hAnsi="黑体" w:cs="仿宋"/>
          <w:sz w:val="32"/>
          <w:szCs w:val="32"/>
        </w:rPr>
        <w:t>做好</w:t>
      </w:r>
      <w:r>
        <w:rPr>
          <w:rFonts w:hint="eastAsia" w:ascii="仿宋_GB2312" w:hAnsi="黑体" w:cs="仿宋"/>
          <w:sz w:val="32"/>
          <w:szCs w:val="32"/>
          <w:lang w:eastAsia="zh-CN"/>
        </w:rPr>
        <w:t>项目评审和</w:t>
      </w:r>
      <w:r>
        <w:rPr>
          <w:rFonts w:hint="eastAsia" w:ascii="仿宋_GB2312" w:hAnsi="黑体" w:cs="仿宋"/>
          <w:sz w:val="32"/>
          <w:szCs w:val="32"/>
        </w:rPr>
        <w:t>公示等工作</w:t>
      </w:r>
      <w:r>
        <w:rPr>
          <w:rFonts w:hint="eastAsia" w:ascii="仿宋_GB2312" w:hAnsi="黑体" w:cs="仿宋"/>
          <w:sz w:val="32"/>
          <w:szCs w:val="32"/>
          <w:lang w:eastAsia="zh-CN"/>
        </w:rPr>
        <w:t>，落实项目资金，指导县（市、区）编制实施方案，组织项目监督检查、资金管理、</w:t>
      </w:r>
      <w:r>
        <w:rPr>
          <w:rFonts w:hint="eastAsia" w:ascii="仿宋_GB2312" w:hAnsi="黑体" w:cs="仿宋"/>
          <w:sz w:val="32"/>
          <w:szCs w:val="32"/>
        </w:rPr>
        <w:t>项目验收</w:t>
      </w:r>
      <w:r>
        <w:rPr>
          <w:rFonts w:hint="eastAsia" w:ascii="仿宋_GB2312" w:hAnsi="黑体" w:cs="仿宋"/>
          <w:sz w:val="32"/>
          <w:szCs w:val="32"/>
          <w:lang w:eastAsia="zh-CN"/>
        </w:rPr>
        <w:t>、绩效考评</w:t>
      </w:r>
      <w:r>
        <w:rPr>
          <w:rFonts w:hint="eastAsia" w:ascii="仿宋_GB2312" w:hAnsi="黑体" w:cs="仿宋"/>
          <w:sz w:val="32"/>
          <w:szCs w:val="32"/>
        </w:rPr>
        <w:t>等工作。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default" w:ascii="仿宋_GB2312" w:hAnsi="黑体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 （三）县（市、区）粮食和物资储备（发展改革）部门。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编制全县（市、区）实施方案，对方案的准确性、真实性、可实施性负责，</w:t>
      </w:r>
      <w:r>
        <w:rPr>
          <w:rFonts w:hint="eastAsia" w:ascii="仿宋_GB2312" w:hAnsi="黑体" w:eastAsia="仿宋_GB2312" w:cs="仿宋"/>
          <w:kern w:val="2"/>
          <w:sz w:val="32"/>
          <w:szCs w:val="32"/>
          <w:lang w:val="en-US" w:eastAsia="zh-CN" w:bidi="ar-SA"/>
        </w:rPr>
        <w:t>负责区域内重点龙头骨干企业项目申报工作，通过竞争性评审方式，遴选出区域内重点龙头骨干企业，做好项目公示等工作，组织区域内项目的实施指导、监督检查、资金管理等工作，协调本级财政部门及时落实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739" w:firstLineChars="230"/>
        <w:jc w:val="both"/>
        <w:textAlignment w:val="auto"/>
        <w:rPr>
          <w:rFonts w:hint="eastAsia" w:ascii="仿宋_GB2312" w:hAnsi="仿宋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</w:t>
      </w: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四</w:t>
      </w:r>
      <w:r>
        <w:rPr>
          <w:rFonts w:hint="eastAsia" w:ascii="楷体_GB2312" w:hAnsi="仿宋" w:eastAsia="楷体_GB2312" w:cs="仿宋"/>
          <w:b/>
          <w:sz w:val="32"/>
          <w:szCs w:val="32"/>
        </w:rPr>
        <w:t>）重点龙头骨干企业。</w:t>
      </w:r>
      <w:r>
        <w:rPr>
          <w:rFonts w:hint="eastAsia" w:ascii="仿宋_GB2312" w:hAnsi="黑体" w:cs="仿宋"/>
          <w:sz w:val="32"/>
          <w:szCs w:val="32"/>
        </w:rPr>
        <w:t>编制企业实施方案，对方案的准确性、真实性、可实施性负责</w:t>
      </w:r>
      <w:r>
        <w:rPr>
          <w:rFonts w:hint="eastAsia" w:ascii="仿宋_GB2312" w:hAnsi="黑体" w:cs="仿宋"/>
          <w:sz w:val="32"/>
          <w:szCs w:val="32"/>
          <w:lang w:eastAsia="zh-CN"/>
        </w:rPr>
        <w:t>，做好项目的设计、立项、申报和实施，落实自筹资金，加强财务管理，做好项目各项材料的整理工作。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hint="eastAsia" w:ascii="黑体" w:hAnsi="黑体" w:eastAsia="黑体"/>
          <w:b w:val="0"/>
          <w:bCs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pacing w:val="5"/>
          <w:sz w:val="32"/>
          <w:szCs w:val="32"/>
          <w:lang w:eastAsia="zh-CN"/>
        </w:rPr>
        <w:t>七、实施程序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（一）实施周期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本方案实施周期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为2022-2024年度。2021年度已开工建设，符合本方案实施内容和主体标准且实际完成投资比例未超过70%，依法获得审批（核准、备案）和相关前期手续，未获得其他形式补助资金的项目可纳入方案一并实施。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（二）方案编制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40" w:firstLineChars="200"/>
        <w:jc w:val="both"/>
        <w:textAlignment w:val="auto"/>
        <w:rPr>
          <w:rFonts w:hint="eastAsia" w:ascii="仿宋_GB2312" w:hAnsi="仿宋" w:cs="仿宋"/>
          <w:sz w:val="32"/>
          <w:szCs w:val="32"/>
        </w:rPr>
      </w:pPr>
      <w:r>
        <w:rPr>
          <w:rFonts w:hint="eastAsia" w:ascii="仿宋_GB2312" w:hAnsi="黑体" w:cs="仿宋"/>
          <w:sz w:val="32"/>
          <w:szCs w:val="32"/>
          <w:lang w:eastAsia="zh-CN"/>
        </w:rPr>
        <w:t>各市、县级实施</w:t>
      </w:r>
      <w:r>
        <w:rPr>
          <w:rFonts w:hint="eastAsia" w:ascii="仿宋_GB2312" w:hAnsi="黑体" w:cs="仿宋"/>
          <w:sz w:val="32"/>
          <w:szCs w:val="32"/>
        </w:rPr>
        <w:t>方案要明确提出产业规划、建设目标、绩效目标、建设内容、</w:t>
      </w:r>
      <w:r>
        <w:rPr>
          <w:rFonts w:hint="eastAsia" w:ascii="仿宋_GB2312" w:hAnsi="黑体" w:cs="仿宋"/>
          <w:sz w:val="32"/>
          <w:szCs w:val="32"/>
          <w:lang w:eastAsia="zh-CN"/>
        </w:rPr>
        <w:t>分年度实施计划、</w:t>
      </w:r>
      <w:r>
        <w:rPr>
          <w:rFonts w:hint="eastAsia" w:ascii="仿宋_GB2312" w:hAnsi="黑体" w:cs="仿宋"/>
          <w:sz w:val="32"/>
          <w:szCs w:val="32"/>
        </w:rPr>
        <w:t>项目验收、资金</w:t>
      </w:r>
      <w:r>
        <w:rPr>
          <w:rFonts w:hint="eastAsia" w:ascii="仿宋_GB2312" w:hAnsi="黑体" w:cs="仿宋"/>
          <w:sz w:val="32"/>
          <w:szCs w:val="32"/>
          <w:lang w:eastAsia="zh-CN"/>
        </w:rPr>
        <w:t>管理、</w:t>
      </w:r>
      <w:r>
        <w:rPr>
          <w:rFonts w:hint="eastAsia" w:ascii="仿宋_GB2312" w:hAnsi="黑体" w:cs="仿宋"/>
          <w:sz w:val="32"/>
          <w:szCs w:val="32"/>
        </w:rPr>
        <w:t>保障措施等内容。企业申报材料应包括但不仅限于：</w:t>
      </w:r>
      <w:r>
        <w:rPr>
          <w:rFonts w:hint="eastAsia" w:ascii="仿宋_GB2312" w:hAnsi="黑体" w:cs="仿宋"/>
          <w:sz w:val="32"/>
          <w:szCs w:val="32"/>
          <w:lang w:eastAsia="zh-CN"/>
        </w:rPr>
        <w:t>目录、</w:t>
      </w:r>
      <w:r>
        <w:rPr>
          <w:rFonts w:hint="eastAsia" w:ascii="仿宋_GB2312" w:hAnsi="黑体" w:cs="仿宋"/>
          <w:sz w:val="32"/>
          <w:szCs w:val="32"/>
        </w:rPr>
        <w:t>项目申报书、项目规划、</w:t>
      </w:r>
      <w:r>
        <w:rPr>
          <w:rFonts w:hint="eastAsia" w:ascii="仿宋_GB2312" w:hAnsi="黑体" w:cs="仿宋"/>
          <w:sz w:val="32"/>
          <w:szCs w:val="32"/>
          <w:lang w:eastAsia="zh-CN"/>
        </w:rPr>
        <w:t>分年度实施计划、</w:t>
      </w:r>
      <w:r>
        <w:rPr>
          <w:rFonts w:hint="eastAsia" w:ascii="仿宋_GB2312" w:hAnsi="黑体" w:cs="仿宋"/>
          <w:sz w:val="32"/>
          <w:szCs w:val="32"/>
        </w:rPr>
        <w:t>项目概算、企业营业执照、法人身份证件复印件、建设项目环评报告、节能评估报告、土地使用证、财务审计报告、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信用中国证明材料、</w:t>
      </w:r>
      <w:r>
        <w:rPr>
          <w:rFonts w:hint="eastAsia" w:ascii="仿宋_GB2312" w:hAnsi="黑体" w:cs="仿宋"/>
          <w:sz w:val="32"/>
          <w:szCs w:val="32"/>
        </w:rPr>
        <w:t>自有资金保证书、真实性承诺书等材料</w:t>
      </w:r>
      <w:r>
        <w:rPr>
          <w:rFonts w:hint="eastAsia" w:ascii="仿宋_GB2312" w:hAnsi="黑体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（三）项目申报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736" w:firstLineChars="230"/>
        <w:jc w:val="both"/>
        <w:textAlignment w:val="auto"/>
        <w:rPr>
          <w:rFonts w:hint="default" w:ascii="仿宋_GB2312" w:hAnsi="黑体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"/>
          <w:kern w:val="2"/>
          <w:sz w:val="32"/>
          <w:szCs w:val="32"/>
          <w:lang w:val="en-US" w:eastAsia="zh-CN" w:bidi="ar-SA"/>
        </w:rPr>
        <w:t>重点龙头骨干企业按照属地原则向市、县（市、区）粮食和物资储备部门（发展改革部门）申报项目。</w:t>
      </w:r>
      <w:r>
        <w:rPr>
          <w:rFonts w:hint="eastAsia" w:ascii="仿宋_GB2312" w:hAnsi="黑体" w:cs="仿宋"/>
          <w:sz w:val="32"/>
          <w:szCs w:val="32"/>
        </w:rPr>
        <w:t>中央直属</w:t>
      </w:r>
      <w:r>
        <w:rPr>
          <w:rFonts w:hint="eastAsia" w:ascii="仿宋_GB2312" w:hAnsi="黑体" w:cs="仿宋"/>
          <w:sz w:val="32"/>
          <w:szCs w:val="32"/>
          <w:lang w:eastAsia="zh-CN"/>
        </w:rPr>
        <w:t>粮食</w:t>
      </w:r>
      <w:r>
        <w:rPr>
          <w:rFonts w:hint="eastAsia" w:ascii="仿宋_GB2312" w:hAnsi="黑体" w:cs="仿宋"/>
          <w:sz w:val="32"/>
          <w:szCs w:val="32"/>
        </w:rPr>
        <w:t>企业和省属粮食企业在各市独立核算的企业纳入所在市</w:t>
      </w:r>
      <w:r>
        <w:rPr>
          <w:rFonts w:hint="eastAsia" w:ascii="仿宋_GB2312" w:hAnsi="黑体" w:cs="仿宋"/>
          <w:sz w:val="32"/>
          <w:szCs w:val="32"/>
          <w:lang w:eastAsia="zh-CN"/>
        </w:rPr>
        <w:t>、县（市、区）</w:t>
      </w:r>
      <w:r>
        <w:rPr>
          <w:rFonts w:hint="eastAsia" w:ascii="仿宋_GB2312" w:hAnsi="黑体" w:cs="仿宋"/>
          <w:sz w:val="32"/>
          <w:szCs w:val="32"/>
        </w:rPr>
        <w:t>统一实施。</w:t>
      </w:r>
      <w:r>
        <w:rPr>
          <w:rFonts w:hint="eastAsia" w:ascii="仿宋_GB2312" w:hAnsi="黑体" w:eastAsia="仿宋_GB2312" w:cs="仿宋"/>
          <w:kern w:val="2"/>
          <w:sz w:val="32"/>
          <w:szCs w:val="32"/>
          <w:lang w:val="en-US" w:eastAsia="zh-CN" w:bidi="ar-SA"/>
        </w:rPr>
        <w:t>各市于9月</w:t>
      </w:r>
      <w:r>
        <w:rPr>
          <w:rFonts w:hint="eastAsia" w:ascii="仿宋_GB2312" w:hAnsi="黑体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黑体" w:eastAsia="仿宋_GB2312" w:cs="仿宋"/>
          <w:kern w:val="2"/>
          <w:sz w:val="32"/>
          <w:szCs w:val="32"/>
          <w:lang w:val="en-US" w:eastAsia="zh-CN" w:bidi="ar-SA"/>
        </w:rPr>
        <w:t>0日前将市级方案</w:t>
      </w:r>
      <w:r>
        <w:rPr>
          <w:rFonts w:hint="eastAsia" w:ascii="仿宋_GB2312" w:hAnsi="黑体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黑体" w:eastAsia="仿宋_GB2312" w:cs="仿宋"/>
          <w:kern w:val="2"/>
          <w:sz w:val="32"/>
          <w:szCs w:val="32"/>
          <w:lang w:val="en-US" w:eastAsia="zh-CN" w:bidi="ar-SA"/>
        </w:rPr>
        <w:t>评审意见</w:t>
      </w:r>
      <w:r>
        <w:rPr>
          <w:rFonts w:hint="eastAsia" w:ascii="仿宋_GB2312" w:hAnsi="黑体" w:cs="仿宋"/>
          <w:kern w:val="2"/>
          <w:sz w:val="32"/>
          <w:szCs w:val="32"/>
          <w:lang w:val="en-US" w:eastAsia="zh-CN" w:bidi="ar-SA"/>
        </w:rPr>
        <w:t>、县级方案、项目申报材料等</w:t>
      </w:r>
      <w:r>
        <w:rPr>
          <w:rFonts w:hint="eastAsia" w:ascii="仿宋_GB2312" w:hAnsi="黑体" w:eastAsia="仿宋_GB2312" w:cs="仿宋"/>
          <w:kern w:val="2"/>
          <w:sz w:val="32"/>
          <w:szCs w:val="32"/>
          <w:lang w:val="en-US" w:eastAsia="zh-CN" w:bidi="ar-SA"/>
        </w:rPr>
        <w:t>报省粮食和物资储备部门备案。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0" w:firstLineChars="200"/>
        <w:jc w:val="both"/>
        <w:textAlignment w:val="auto"/>
        <w:rPr>
          <w:rFonts w:hint="eastAsia" w:ascii="黑体" w:hAnsi="黑体" w:eastAsia="黑体"/>
          <w:b w:val="0"/>
          <w:bCs/>
          <w:spacing w:val="5"/>
          <w:sz w:val="32"/>
          <w:szCs w:val="32"/>
        </w:rPr>
      </w:pPr>
      <w:r>
        <w:rPr>
          <w:rFonts w:hint="eastAsia" w:ascii="黑体" w:hAnsi="黑体" w:eastAsia="黑体"/>
          <w:b w:val="0"/>
          <w:bCs/>
          <w:spacing w:val="5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 w:val="0"/>
          <w:bCs/>
          <w:spacing w:val="5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63" w:firstLineChars="200"/>
        <w:jc w:val="both"/>
        <w:textAlignment w:val="auto"/>
        <w:rPr>
          <w:rFonts w:hint="eastAsia" w:ascii="仿宋_GB2312" w:hAnsi="仿宋" w:cs="仿宋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5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/>
          <w:spacing w:val="5"/>
          <w:sz w:val="32"/>
          <w:szCs w:val="32"/>
          <w:lang w:eastAsia="zh-CN"/>
        </w:rPr>
        <w:t>各市</w:t>
      </w:r>
      <w:r>
        <w:rPr>
          <w:rFonts w:hint="eastAsia" w:ascii="仿宋_GB2312" w:hAnsi="仿宋" w:cs="仿宋"/>
          <w:sz w:val="32"/>
          <w:szCs w:val="32"/>
        </w:rPr>
        <w:t>要成立专项工作领导小组，</w:t>
      </w:r>
      <w:r>
        <w:rPr>
          <w:rFonts w:hint="eastAsia" w:ascii="仿宋_GB2312" w:hAnsi="仿宋" w:cs="仿宋"/>
          <w:sz w:val="32"/>
          <w:szCs w:val="32"/>
          <w:lang w:eastAsia="zh-CN"/>
        </w:rPr>
        <w:t>明确工作职责，做好方案编制。</w:t>
      </w:r>
      <w:r>
        <w:rPr>
          <w:rFonts w:hint="eastAsia" w:ascii="仿宋_GB2312" w:hAnsi="仿宋" w:cs="仿宋"/>
          <w:sz w:val="32"/>
          <w:szCs w:val="32"/>
        </w:rPr>
        <w:t>建立定期调度通报机制，严格执行廉政规定，强化对项目实施过程中关键风险点</w:t>
      </w:r>
      <w:r>
        <w:rPr>
          <w:rFonts w:hint="eastAsia" w:ascii="仿宋_GB2312" w:hAnsi="仿宋" w:cs="仿宋"/>
          <w:sz w:val="32"/>
          <w:szCs w:val="32"/>
          <w:lang w:eastAsia="zh-CN"/>
        </w:rPr>
        <w:t>的</w:t>
      </w:r>
      <w:r>
        <w:rPr>
          <w:rFonts w:hint="eastAsia" w:ascii="仿宋_GB2312" w:hAnsi="仿宋" w:cs="仿宋"/>
          <w:sz w:val="32"/>
          <w:szCs w:val="32"/>
        </w:rPr>
        <w:t>监控，加强项目管理，健全项目档案，严禁擅自调整实施方案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cs="仿宋"/>
          <w:sz w:val="32"/>
          <w:szCs w:val="32"/>
        </w:rPr>
        <w:t>变更资金用途和建设内容。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43" w:firstLineChars="200"/>
        <w:jc w:val="both"/>
        <w:textAlignment w:val="auto"/>
        <w:rPr>
          <w:rFonts w:hint="eastAsia" w:ascii="仿宋_GB2312" w:hAnsi="仿宋" w:cs="仿宋"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（二）科学谋划布局。</w:t>
      </w:r>
      <w:r>
        <w:rPr>
          <w:rFonts w:hint="eastAsia" w:ascii="仿宋_GB2312" w:hAnsi="楷体" w:cs="仿宋"/>
          <w:bCs/>
          <w:sz w:val="32"/>
          <w:szCs w:val="32"/>
        </w:rPr>
        <w:t>各市</w:t>
      </w:r>
      <w:r>
        <w:rPr>
          <w:rFonts w:hint="eastAsia" w:ascii="仿宋_GB2312" w:hAnsi="黑体" w:cs="仿宋"/>
          <w:sz w:val="32"/>
          <w:szCs w:val="32"/>
        </w:rPr>
        <w:t>要</w:t>
      </w:r>
      <w:r>
        <w:rPr>
          <w:rFonts w:hint="eastAsia" w:ascii="仿宋_GB2312" w:hAnsi="黑体" w:cs="仿宋"/>
          <w:sz w:val="32"/>
          <w:szCs w:val="32"/>
          <w:lang w:eastAsia="zh-CN"/>
        </w:rPr>
        <w:t>结合《辽宁省“十四五”粮食和物资储备行业发展规划》关于粮食物流基础设施部署要求，立足</w:t>
      </w:r>
      <w:r>
        <w:rPr>
          <w:rFonts w:hint="eastAsia" w:ascii="仿宋_GB2312" w:hAnsi="黑体" w:cs="仿宋"/>
          <w:sz w:val="32"/>
          <w:szCs w:val="32"/>
        </w:rPr>
        <w:t>本地区实际和企业发展需求，认真谋划本地粮食绿色仓储提升行动布局</w:t>
      </w:r>
      <w:r>
        <w:rPr>
          <w:rFonts w:hint="eastAsia" w:ascii="仿宋_GB2312" w:hAnsi="黑体" w:cs="仿宋"/>
          <w:sz w:val="32"/>
          <w:szCs w:val="32"/>
          <w:lang w:eastAsia="zh-CN"/>
        </w:rPr>
        <w:t>。坚持培优扶强的原则，突出绿色发展，保障质量，</w:t>
      </w:r>
      <w:r>
        <w:rPr>
          <w:rFonts w:hint="eastAsia" w:ascii="仿宋_GB2312" w:hAnsi="仿宋" w:cs="仿宋"/>
          <w:spacing w:val="-5"/>
          <w:sz w:val="32"/>
          <w:szCs w:val="32"/>
        </w:rPr>
        <w:t>量力而行，</w:t>
      </w:r>
      <w:r>
        <w:rPr>
          <w:rFonts w:hint="eastAsia" w:ascii="仿宋_GB2312" w:hAnsi="仿宋" w:cs="仿宋"/>
          <w:spacing w:val="-5"/>
          <w:sz w:val="32"/>
          <w:szCs w:val="32"/>
          <w:lang w:eastAsia="zh-CN"/>
        </w:rPr>
        <w:t>杜绝“好大喜功”，</w:t>
      </w:r>
      <w:r>
        <w:rPr>
          <w:rFonts w:hint="eastAsia" w:ascii="仿宋_GB2312" w:hAnsi="黑体" w:cs="仿宋"/>
          <w:sz w:val="32"/>
          <w:szCs w:val="32"/>
        </w:rPr>
        <w:t>禁止</w:t>
      </w:r>
      <w:r>
        <w:rPr>
          <w:rFonts w:hint="eastAsia" w:ascii="仿宋_GB2312" w:hAnsi="黑体" w:cs="仿宋"/>
          <w:sz w:val="32"/>
          <w:szCs w:val="32"/>
          <w:lang w:eastAsia="zh-CN"/>
        </w:rPr>
        <w:t>“</w:t>
      </w:r>
      <w:r>
        <w:rPr>
          <w:rFonts w:hint="eastAsia" w:ascii="仿宋_GB2312" w:hAnsi="黑体" w:cs="仿宋"/>
          <w:sz w:val="32"/>
          <w:szCs w:val="32"/>
        </w:rPr>
        <w:t>撒胡椒面</w:t>
      </w:r>
      <w:r>
        <w:rPr>
          <w:rFonts w:hint="eastAsia" w:ascii="仿宋_GB2312" w:hAnsi="黑体" w:cs="仿宋"/>
          <w:sz w:val="32"/>
          <w:szCs w:val="32"/>
          <w:lang w:eastAsia="zh-CN"/>
        </w:rPr>
        <w:t>”，</w:t>
      </w:r>
      <w:r>
        <w:rPr>
          <w:rFonts w:hint="eastAsia" w:ascii="仿宋_GB2312" w:hAnsi="黑体" w:cs="仿宋"/>
          <w:sz w:val="32"/>
          <w:szCs w:val="32"/>
        </w:rPr>
        <w:t>确保实施方案科学合理。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63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pacing w:val="5"/>
          <w:sz w:val="32"/>
          <w:szCs w:val="32"/>
        </w:rPr>
        <w:t>（三）落实资金保障。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各市要统筹</w:t>
      </w:r>
      <w:r>
        <w:rPr>
          <w:rFonts w:hint="eastAsia" w:ascii="仿宋_GB2312" w:hAnsi="仿宋_GB2312" w:cs="仿宋_GB2312"/>
          <w:spacing w:val="5"/>
          <w:sz w:val="32"/>
          <w:szCs w:val="32"/>
          <w:lang w:eastAsia="zh-CN"/>
        </w:rPr>
        <w:t>使用商品粮大省奖励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资金</w:t>
      </w:r>
      <w:r>
        <w:rPr>
          <w:rFonts w:hint="eastAsia" w:ascii="仿宋_GB2312" w:hAnsi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pacing w:val="5"/>
          <w:sz w:val="32"/>
          <w:szCs w:val="32"/>
          <w:lang w:val="en-US" w:eastAsia="zh-CN"/>
        </w:rPr>
        <w:t>补助资金比例</w:t>
      </w:r>
      <w:r>
        <w:rPr>
          <w:rFonts w:hint="eastAsia" w:ascii="仿宋_GB2312" w:hAnsi="仿宋_GB2312" w:cs="仿宋_GB2312"/>
          <w:spacing w:val="5"/>
          <w:sz w:val="32"/>
          <w:szCs w:val="32"/>
          <w:lang w:eastAsia="zh-CN"/>
        </w:rPr>
        <w:t>不超过总投资额度的</w:t>
      </w:r>
      <w:r>
        <w:rPr>
          <w:rFonts w:hint="eastAsia" w:ascii="仿宋_GB2312" w:hAnsi="仿宋_GB2312" w:cs="仿宋_GB2312"/>
          <w:spacing w:val="5"/>
          <w:sz w:val="32"/>
          <w:szCs w:val="32"/>
          <w:lang w:val="en-US" w:eastAsia="zh-CN"/>
        </w:rPr>
        <w:t>30%。各地要</w:t>
      </w:r>
      <w:r>
        <w:rPr>
          <w:rFonts w:hint="eastAsia" w:ascii="仿宋_GB2312" w:hAnsi="仿宋" w:cs="仿宋"/>
          <w:spacing w:val="-5"/>
          <w:sz w:val="32"/>
          <w:szCs w:val="32"/>
        </w:rPr>
        <w:t>认真落实相关财务管理规定</w:t>
      </w:r>
      <w:r>
        <w:rPr>
          <w:rFonts w:hint="eastAsia" w:ascii="仿宋_GB2312" w:hAnsi="仿宋" w:cs="仿宋"/>
          <w:sz w:val="32"/>
          <w:szCs w:val="32"/>
        </w:rPr>
        <w:t>，</w:t>
      </w:r>
      <w:r>
        <w:rPr>
          <w:rFonts w:hint="eastAsia" w:ascii="仿宋_GB2312" w:hAnsi="仿宋" w:cs="仿宋"/>
          <w:sz w:val="32"/>
          <w:szCs w:val="32"/>
          <w:lang w:eastAsia="zh-CN"/>
        </w:rPr>
        <w:t>建立专账专户，</w:t>
      </w:r>
      <w:r>
        <w:rPr>
          <w:rFonts w:hint="eastAsia" w:ascii="仿宋_GB2312" w:hAnsi="仿宋" w:cs="仿宋"/>
          <w:spacing w:val="-5"/>
          <w:sz w:val="32"/>
          <w:szCs w:val="32"/>
        </w:rPr>
        <w:t>严格履行政府采购、招投标等手续</w:t>
      </w:r>
      <w:r>
        <w:rPr>
          <w:rFonts w:hint="eastAsia" w:ascii="仿宋_GB2312" w:hAnsi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禁止挤占挪用</w:t>
      </w:r>
      <w:r>
        <w:rPr>
          <w:rFonts w:hint="eastAsia" w:ascii="仿宋_GB2312" w:hAnsi="仿宋_GB2312" w:cs="仿宋_GB2312"/>
          <w:spacing w:val="5"/>
          <w:sz w:val="32"/>
          <w:szCs w:val="32"/>
          <w:lang w:eastAsia="zh-CN"/>
        </w:rPr>
        <w:t>。</w:t>
      </w:r>
      <w:r>
        <w:rPr>
          <w:rFonts w:hint="eastAsia" w:ascii="仿宋_GB2312" w:hAnsi="仿宋" w:cs="仿宋"/>
          <w:sz w:val="32"/>
          <w:szCs w:val="32"/>
        </w:rPr>
        <w:t>补助资金不得用于安排车辆购置、人员工资和弥补办公经费缺口等机构运转支出，</w:t>
      </w:r>
      <w:r>
        <w:rPr>
          <w:rFonts w:hint="eastAsia" w:ascii="仿宋_GB2312" w:hAnsi="仿宋" w:cs="仿宋"/>
          <w:color w:val="auto"/>
          <w:spacing w:val="-5"/>
          <w:sz w:val="32"/>
          <w:szCs w:val="32"/>
        </w:rPr>
        <w:t>同一项目不得重复申请不同专项资金</w:t>
      </w:r>
      <w:r>
        <w:rPr>
          <w:rFonts w:hint="eastAsia" w:ascii="仿宋_GB2312" w:hAnsi="仿宋" w:cs="仿宋"/>
          <w:color w:val="auto"/>
          <w:spacing w:val="-5"/>
          <w:sz w:val="32"/>
          <w:szCs w:val="32"/>
          <w:lang w:eastAsia="zh-CN"/>
        </w:rPr>
        <w:t>，切实</w:t>
      </w:r>
      <w:r>
        <w:rPr>
          <w:rFonts w:hint="eastAsia" w:ascii="仿宋_GB2312" w:hAnsi="仿宋" w:cs="仿宋"/>
          <w:spacing w:val="-5"/>
          <w:sz w:val="32"/>
          <w:szCs w:val="32"/>
        </w:rPr>
        <w:t>保障资金使用安全，确保资金发挥最大效益。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ind w:firstLine="663" w:firstLineChars="200"/>
        <w:jc w:val="both"/>
        <w:textAlignment w:val="auto"/>
        <w:rPr>
          <w:rFonts w:hint="eastAsia" w:ascii="仿宋_GB2312" w:hAnsi="仿宋_GB2312" w:cs="仿宋_GB2312"/>
          <w:spacing w:val="5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5"/>
          <w:sz w:val="32"/>
          <w:szCs w:val="32"/>
        </w:rPr>
        <w:t>（四）强化科技支撑。</w:t>
      </w: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各市要</w:t>
      </w:r>
      <w:r>
        <w:rPr>
          <w:rFonts w:hint="eastAsia" w:ascii="仿宋_GB2312" w:hAnsi="仿宋_GB2312" w:cs="仿宋_GB2312"/>
          <w:bCs/>
          <w:spacing w:val="5"/>
          <w:sz w:val="32"/>
          <w:szCs w:val="32"/>
          <w:lang w:val="en"/>
        </w:rPr>
        <w:t>结合</w:t>
      </w: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粮食</w:t>
      </w:r>
      <w:r>
        <w:rPr>
          <w:rFonts w:hint="eastAsia" w:ascii="仿宋_GB2312" w:hAnsi="仿宋_GB2312" w:cs="仿宋_GB2312"/>
          <w:bCs/>
          <w:spacing w:val="5"/>
          <w:sz w:val="32"/>
          <w:szCs w:val="32"/>
          <w:lang w:val="en"/>
        </w:rPr>
        <w:t>绿色仓储</w:t>
      </w:r>
      <w:r>
        <w:rPr>
          <w:rFonts w:hint="eastAsia" w:ascii="仿宋_GB2312" w:hAnsi="仿宋_GB2312" w:cs="仿宋_GB2312"/>
          <w:bCs/>
          <w:spacing w:val="5"/>
          <w:sz w:val="32"/>
          <w:szCs w:val="32"/>
        </w:rPr>
        <w:t>提升行动</w:t>
      </w:r>
      <w:r>
        <w:rPr>
          <w:rFonts w:hint="eastAsia" w:ascii="仿宋_GB2312" w:hAnsi="仿宋_GB2312" w:cs="仿宋_GB2312"/>
          <w:bCs/>
          <w:spacing w:val="5"/>
          <w:sz w:val="32"/>
          <w:szCs w:val="32"/>
          <w:lang w:val="en"/>
        </w:rPr>
        <w:t>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加快仓储管理信息化、智能化</w:t>
      </w:r>
      <w:r>
        <w:rPr>
          <w:rFonts w:ascii="仿宋_GB2312" w:hAnsi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推动</w:t>
      </w:r>
      <w:r>
        <w:rPr>
          <w:rFonts w:ascii="仿宋_GB2312" w:hAnsi="仿宋_GB2312" w:cs="仿宋_GB2312"/>
          <w:spacing w:val="5"/>
          <w:sz w:val="32"/>
          <w:szCs w:val="32"/>
          <w:lang w:val="en"/>
        </w:rPr>
        <w:t>粮库信息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系统</w:t>
      </w:r>
      <w:r>
        <w:rPr>
          <w:rFonts w:ascii="仿宋_GB2312" w:hAnsi="仿宋_GB2312" w:cs="仿宋_GB2312"/>
          <w:spacing w:val="5"/>
          <w:sz w:val="32"/>
          <w:szCs w:val="32"/>
        </w:rPr>
        <w:t>接入国家及省级粮食和物资储备管理平台，实现互联互通、数据自动采集与共享。</w:t>
      </w:r>
      <w:r>
        <w:rPr>
          <w:rFonts w:hint="eastAsia" w:ascii="仿宋_GB2312" w:hAnsi="仿宋_GB2312" w:cs="仿宋_GB2312"/>
          <w:spacing w:val="5"/>
          <w:sz w:val="32"/>
          <w:szCs w:val="32"/>
        </w:rPr>
        <w:t>运用大数据、云计算、区块链、人工智能等技术，使粮情感知、分析预测、远程监控、专家诊断及相关业务数据协同处理更加系统高效，不断提升粮食储备管理水平。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pacing w:val="5"/>
          <w:kern w:val="2"/>
          <w:sz w:val="32"/>
          <w:szCs w:val="32"/>
          <w:lang w:val="en-US" w:eastAsia="zh-CN" w:bidi="ar-SA"/>
        </w:rPr>
        <w:t>（五）做好绩效管理。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各市要结合实际，认真填报《深入推进优质粮食工程指标体系》，指导县（市、区）、重点龙头骨干企业做好绩效目标考核准备工作，重点在项目数量、质量、时效、经济效益、社会效益等方面细化量化，保障绩效目标合理可行、匹配适当，确保粮食绿色仓储提升行动顺利完成。</w:t>
      </w:r>
      <w:bookmarkStart w:id="1" w:name="_GoBack"/>
      <w:bookmarkEnd w:id="1"/>
    </w:p>
    <w:sectPr>
      <w:footerReference r:id="rId5" w:type="default"/>
      <w:pgSz w:w="11907" w:h="16840"/>
      <w:pgMar w:top="2098" w:right="1474" w:bottom="1984" w:left="1587" w:header="851" w:footer="1531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”“Times New Roman”“">
    <w:altName w:val="DejaVu Sans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粗黑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+w6ld0gEAAIUDAAAOAAAA&#10;ZHJzL2Uyb0RvYy54bWytU8GO0zAQvSPxD5bvNGmlhShqugJWi5AQIC18gOvYjSXHtmy3SfkA+ANO&#10;XLjzXf2OfXaaLmJvKy7OjGf85r2Zyfp67DU5CB+UNQ1dLkpKhOG2VWbX0K9fbl9UlITITMu0NaKh&#10;RxHo9eb5s/XgarGyndWt8AQgJtSDa2gXo6uLIvBO9CwsrBMGQWl9zyJcvytazwag97pYleXLYrC+&#10;dd5yEQJub6Yg3WR8KQWPn6QMIhLdUHCL+fT53Kaz2KxZvfPMdYqfabAnsOiZMih6gbphkZG9V4+g&#10;esW9DVbGBbd9YaVUXGQNULMs/1Fz1zEnshY0J7hLm8L/g+UfD589US1mR4lhPUZ0+vnj9OvP6fd3&#10;skztGVyokXXnkBfHN3ZsaPR7MYcC7pPwUfo+fSGJIAW9Pl76K8ZIOC6X1aqqSoQ4YrODEsXDc+dD&#10;fCdsT5LRUI8B5r6yw4cQp9Q5JVUz9lZpnYeoDRmAelW9usovLiGga4MiScjENllx3I5ndVvbHiEO&#10;W4yKnfXfKBmwEQ01WFlK9HuDhqflmQ0/G9vZYIbjITpDyWS+jfAk0wEAe+fVrgP25Cfewb3eR3DP&#10;khKdicOZJWadm3Ley7RMf/s56+Hv2d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7DqV3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20"/>
  <w:drawingGridVerticalSpacing w:val="218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87"/>
    <w:rsid w:val="000001E5"/>
    <w:rsid w:val="000158EE"/>
    <w:rsid w:val="00024088"/>
    <w:rsid w:val="00025532"/>
    <w:rsid w:val="00031B62"/>
    <w:rsid w:val="0003249E"/>
    <w:rsid w:val="00035FB1"/>
    <w:rsid w:val="000535C4"/>
    <w:rsid w:val="0005669F"/>
    <w:rsid w:val="00062797"/>
    <w:rsid w:val="00065C59"/>
    <w:rsid w:val="000726E8"/>
    <w:rsid w:val="00083301"/>
    <w:rsid w:val="0008387E"/>
    <w:rsid w:val="00090397"/>
    <w:rsid w:val="0009557E"/>
    <w:rsid w:val="000A2858"/>
    <w:rsid w:val="000A75B9"/>
    <w:rsid w:val="000B13DD"/>
    <w:rsid w:val="000B19CE"/>
    <w:rsid w:val="000B534A"/>
    <w:rsid w:val="000C0CDF"/>
    <w:rsid w:val="000C146F"/>
    <w:rsid w:val="000C1DCD"/>
    <w:rsid w:val="000C2651"/>
    <w:rsid w:val="000C3A3E"/>
    <w:rsid w:val="000C45AC"/>
    <w:rsid w:val="000D0748"/>
    <w:rsid w:val="000D2A6F"/>
    <w:rsid w:val="000D300B"/>
    <w:rsid w:val="000D393E"/>
    <w:rsid w:val="000E1093"/>
    <w:rsid w:val="000E4B1B"/>
    <w:rsid w:val="000E71F8"/>
    <w:rsid w:val="0010377E"/>
    <w:rsid w:val="00110B1D"/>
    <w:rsid w:val="00112E5C"/>
    <w:rsid w:val="0012088E"/>
    <w:rsid w:val="00125B46"/>
    <w:rsid w:val="00130E33"/>
    <w:rsid w:val="00133694"/>
    <w:rsid w:val="00137874"/>
    <w:rsid w:val="00153D1E"/>
    <w:rsid w:val="001629A8"/>
    <w:rsid w:val="0016629E"/>
    <w:rsid w:val="0017464D"/>
    <w:rsid w:val="00174BA4"/>
    <w:rsid w:val="00175A69"/>
    <w:rsid w:val="001806A6"/>
    <w:rsid w:val="00181594"/>
    <w:rsid w:val="00181FA0"/>
    <w:rsid w:val="00186CE7"/>
    <w:rsid w:val="001907E7"/>
    <w:rsid w:val="001A4164"/>
    <w:rsid w:val="001C4F37"/>
    <w:rsid w:val="001C5364"/>
    <w:rsid w:val="001D4264"/>
    <w:rsid w:val="001E53F2"/>
    <w:rsid w:val="00211B58"/>
    <w:rsid w:val="00212C32"/>
    <w:rsid w:val="00217DC8"/>
    <w:rsid w:val="00226EFA"/>
    <w:rsid w:val="00233FF1"/>
    <w:rsid w:val="00240AB1"/>
    <w:rsid w:val="00242345"/>
    <w:rsid w:val="00244823"/>
    <w:rsid w:val="00252DE0"/>
    <w:rsid w:val="00255970"/>
    <w:rsid w:val="00261D96"/>
    <w:rsid w:val="00265327"/>
    <w:rsid w:val="00277344"/>
    <w:rsid w:val="00277DF6"/>
    <w:rsid w:val="00292D2B"/>
    <w:rsid w:val="002A3C59"/>
    <w:rsid w:val="002C0508"/>
    <w:rsid w:val="002E16B8"/>
    <w:rsid w:val="002F0EC8"/>
    <w:rsid w:val="002F4D0F"/>
    <w:rsid w:val="002F6B80"/>
    <w:rsid w:val="00312630"/>
    <w:rsid w:val="00315E64"/>
    <w:rsid w:val="003226BE"/>
    <w:rsid w:val="00325397"/>
    <w:rsid w:val="00334E05"/>
    <w:rsid w:val="00335120"/>
    <w:rsid w:val="003364A1"/>
    <w:rsid w:val="00344905"/>
    <w:rsid w:val="00354DD0"/>
    <w:rsid w:val="00357529"/>
    <w:rsid w:val="003609DF"/>
    <w:rsid w:val="00361E8D"/>
    <w:rsid w:val="00362D03"/>
    <w:rsid w:val="003755FC"/>
    <w:rsid w:val="00377132"/>
    <w:rsid w:val="00380B73"/>
    <w:rsid w:val="003935F3"/>
    <w:rsid w:val="003B4B18"/>
    <w:rsid w:val="003B6A34"/>
    <w:rsid w:val="003B7617"/>
    <w:rsid w:val="003D236A"/>
    <w:rsid w:val="003D27BE"/>
    <w:rsid w:val="003D5FD1"/>
    <w:rsid w:val="003D7CB9"/>
    <w:rsid w:val="003E08F0"/>
    <w:rsid w:val="003E69B8"/>
    <w:rsid w:val="003F241F"/>
    <w:rsid w:val="003F4AB0"/>
    <w:rsid w:val="003F7EE5"/>
    <w:rsid w:val="00401C10"/>
    <w:rsid w:val="004046F6"/>
    <w:rsid w:val="0042199E"/>
    <w:rsid w:val="00424D63"/>
    <w:rsid w:val="00425F93"/>
    <w:rsid w:val="00430F55"/>
    <w:rsid w:val="00442F26"/>
    <w:rsid w:val="00443780"/>
    <w:rsid w:val="0044414E"/>
    <w:rsid w:val="004501ED"/>
    <w:rsid w:val="004504BF"/>
    <w:rsid w:val="00451A34"/>
    <w:rsid w:val="00453DA4"/>
    <w:rsid w:val="00455DAB"/>
    <w:rsid w:val="00455E61"/>
    <w:rsid w:val="00464FBE"/>
    <w:rsid w:val="00465B25"/>
    <w:rsid w:val="00487133"/>
    <w:rsid w:val="00487EF6"/>
    <w:rsid w:val="0049697D"/>
    <w:rsid w:val="004977CE"/>
    <w:rsid w:val="004B0A4E"/>
    <w:rsid w:val="004B2B23"/>
    <w:rsid w:val="004B35B3"/>
    <w:rsid w:val="004B599A"/>
    <w:rsid w:val="004E25E9"/>
    <w:rsid w:val="004F2683"/>
    <w:rsid w:val="00500542"/>
    <w:rsid w:val="005006EE"/>
    <w:rsid w:val="0051084E"/>
    <w:rsid w:val="00521100"/>
    <w:rsid w:val="00521E18"/>
    <w:rsid w:val="00533C41"/>
    <w:rsid w:val="00541731"/>
    <w:rsid w:val="00541E2E"/>
    <w:rsid w:val="0054242B"/>
    <w:rsid w:val="00547363"/>
    <w:rsid w:val="0055757B"/>
    <w:rsid w:val="0056191F"/>
    <w:rsid w:val="00567FB6"/>
    <w:rsid w:val="00575764"/>
    <w:rsid w:val="00586666"/>
    <w:rsid w:val="005A56F4"/>
    <w:rsid w:val="005A70A7"/>
    <w:rsid w:val="005B278C"/>
    <w:rsid w:val="005C2B44"/>
    <w:rsid w:val="005C59C8"/>
    <w:rsid w:val="005E1D90"/>
    <w:rsid w:val="005E1E08"/>
    <w:rsid w:val="005E69D7"/>
    <w:rsid w:val="00601C0B"/>
    <w:rsid w:val="00603ACC"/>
    <w:rsid w:val="00606840"/>
    <w:rsid w:val="00610B06"/>
    <w:rsid w:val="00611BC2"/>
    <w:rsid w:val="00615BE4"/>
    <w:rsid w:val="00616607"/>
    <w:rsid w:val="00620FC5"/>
    <w:rsid w:val="006326DC"/>
    <w:rsid w:val="00642BDB"/>
    <w:rsid w:val="00676203"/>
    <w:rsid w:val="006879C5"/>
    <w:rsid w:val="006949E6"/>
    <w:rsid w:val="006974D0"/>
    <w:rsid w:val="006A0356"/>
    <w:rsid w:val="006A0806"/>
    <w:rsid w:val="006A1C4C"/>
    <w:rsid w:val="006A42FD"/>
    <w:rsid w:val="006C0C90"/>
    <w:rsid w:val="006C11D7"/>
    <w:rsid w:val="006D127C"/>
    <w:rsid w:val="006D1BCE"/>
    <w:rsid w:val="006E0D48"/>
    <w:rsid w:val="006E47C8"/>
    <w:rsid w:val="006F1F1B"/>
    <w:rsid w:val="006F4829"/>
    <w:rsid w:val="0070176B"/>
    <w:rsid w:val="007051BD"/>
    <w:rsid w:val="0070650D"/>
    <w:rsid w:val="007365D3"/>
    <w:rsid w:val="0074241D"/>
    <w:rsid w:val="00744568"/>
    <w:rsid w:val="007511D6"/>
    <w:rsid w:val="00752CE3"/>
    <w:rsid w:val="00757A97"/>
    <w:rsid w:val="007630A7"/>
    <w:rsid w:val="007702FB"/>
    <w:rsid w:val="00777798"/>
    <w:rsid w:val="00794C71"/>
    <w:rsid w:val="007A3618"/>
    <w:rsid w:val="007A7D9F"/>
    <w:rsid w:val="007B0166"/>
    <w:rsid w:val="007C01AC"/>
    <w:rsid w:val="007C22C0"/>
    <w:rsid w:val="007C2B51"/>
    <w:rsid w:val="007D459E"/>
    <w:rsid w:val="007E13CE"/>
    <w:rsid w:val="007E2BAE"/>
    <w:rsid w:val="007F217A"/>
    <w:rsid w:val="008063BE"/>
    <w:rsid w:val="008217A1"/>
    <w:rsid w:val="00825DBA"/>
    <w:rsid w:val="00830122"/>
    <w:rsid w:val="0083482E"/>
    <w:rsid w:val="008402F8"/>
    <w:rsid w:val="0084389E"/>
    <w:rsid w:val="00850D68"/>
    <w:rsid w:val="0085327D"/>
    <w:rsid w:val="00853863"/>
    <w:rsid w:val="00857DE0"/>
    <w:rsid w:val="008705F7"/>
    <w:rsid w:val="0088018F"/>
    <w:rsid w:val="00880AC3"/>
    <w:rsid w:val="00882EEC"/>
    <w:rsid w:val="008853B4"/>
    <w:rsid w:val="008965BF"/>
    <w:rsid w:val="008A0056"/>
    <w:rsid w:val="008C4563"/>
    <w:rsid w:val="008D0BB8"/>
    <w:rsid w:val="008D2BC3"/>
    <w:rsid w:val="008D4ED3"/>
    <w:rsid w:val="008F1E38"/>
    <w:rsid w:val="00900E53"/>
    <w:rsid w:val="00907E65"/>
    <w:rsid w:val="0091056C"/>
    <w:rsid w:val="009115C0"/>
    <w:rsid w:val="00911943"/>
    <w:rsid w:val="00912E59"/>
    <w:rsid w:val="00912F0B"/>
    <w:rsid w:val="00914EBB"/>
    <w:rsid w:val="00926A3C"/>
    <w:rsid w:val="00937758"/>
    <w:rsid w:val="0095058D"/>
    <w:rsid w:val="00952E66"/>
    <w:rsid w:val="0097691F"/>
    <w:rsid w:val="00984B82"/>
    <w:rsid w:val="0098741E"/>
    <w:rsid w:val="00991D90"/>
    <w:rsid w:val="0099351A"/>
    <w:rsid w:val="009940E5"/>
    <w:rsid w:val="00996BE1"/>
    <w:rsid w:val="00996D8B"/>
    <w:rsid w:val="009A6BFC"/>
    <w:rsid w:val="009B23F4"/>
    <w:rsid w:val="009B5221"/>
    <w:rsid w:val="009B5B21"/>
    <w:rsid w:val="009B71B2"/>
    <w:rsid w:val="009C5CA2"/>
    <w:rsid w:val="009D4020"/>
    <w:rsid w:val="009E2FFE"/>
    <w:rsid w:val="009F16A2"/>
    <w:rsid w:val="00A0504C"/>
    <w:rsid w:val="00A0750E"/>
    <w:rsid w:val="00A1021E"/>
    <w:rsid w:val="00A14A59"/>
    <w:rsid w:val="00A249B0"/>
    <w:rsid w:val="00A25E52"/>
    <w:rsid w:val="00A309CC"/>
    <w:rsid w:val="00A34687"/>
    <w:rsid w:val="00A36A0F"/>
    <w:rsid w:val="00A55D19"/>
    <w:rsid w:val="00A5748B"/>
    <w:rsid w:val="00A57E54"/>
    <w:rsid w:val="00A67B3C"/>
    <w:rsid w:val="00A72720"/>
    <w:rsid w:val="00A748F1"/>
    <w:rsid w:val="00A83AF7"/>
    <w:rsid w:val="00A93234"/>
    <w:rsid w:val="00A94B37"/>
    <w:rsid w:val="00A97311"/>
    <w:rsid w:val="00AB7E1F"/>
    <w:rsid w:val="00AC3BD8"/>
    <w:rsid w:val="00AC464D"/>
    <w:rsid w:val="00AC4F26"/>
    <w:rsid w:val="00AC524E"/>
    <w:rsid w:val="00AC54E9"/>
    <w:rsid w:val="00AD2820"/>
    <w:rsid w:val="00AE506A"/>
    <w:rsid w:val="00AE70B8"/>
    <w:rsid w:val="00AF5118"/>
    <w:rsid w:val="00B03092"/>
    <w:rsid w:val="00B042BC"/>
    <w:rsid w:val="00B16322"/>
    <w:rsid w:val="00B339C8"/>
    <w:rsid w:val="00B50C3A"/>
    <w:rsid w:val="00B667C8"/>
    <w:rsid w:val="00B676C7"/>
    <w:rsid w:val="00B7174C"/>
    <w:rsid w:val="00B71A84"/>
    <w:rsid w:val="00B71FAD"/>
    <w:rsid w:val="00B7625E"/>
    <w:rsid w:val="00B9465A"/>
    <w:rsid w:val="00BA12D0"/>
    <w:rsid w:val="00BA1F7C"/>
    <w:rsid w:val="00BA6C3C"/>
    <w:rsid w:val="00BC6852"/>
    <w:rsid w:val="00BD040C"/>
    <w:rsid w:val="00BD2F43"/>
    <w:rsid w:val="00BE341D"/>
    <w:rsid w:val="00BE39E9"/>
    <w:rsid w:val="00BE4C94"/>
    <w:rsid w:val="00BE4F56"/>
    <w:rsid w:val="00BF2C82"/>
    <w:rsid w:val="00BF341E"/>
    <w:rsid w:val="00BF7F01"/>
    <w:rsid w:val="00C06BC3"/>
    <w:rsid w:val="00C0759C"/>
    <w:rsid w:val="00C10087"/>
    <w:rsid w:val="00C14446"/>
    <w:rsid w:val="00C16111"/>
    <w:rsid w:val="00C305D0"/>
    <w:rsid w:val="00C43B47"/>
    <w:rsid w:val="00C601B1"/>
    <w:rsid w:val="00C60255"/>
    <w:rsid w:val="00C712E3"/>
    <w:rsid w:val="00C762A2"/>
    <w:rsid w:val="00C8097E"/>
    <w:rsid w:val="00C8384A"/>
    <w:rsid w:val="00C90A9B"/>
    <w:rsid w:val="00C920D0"/>
    <w:rsid w:val="00C92C93"/>
    <w:rsid w:val="00CC0548"/>
    <w:rsid w:val="00CC499D"/>
    <w:rsid w:val="00CD282B"/>
    <w:rsid w:val="00CE11D9"/>
    <w:rsid w:val="00CE6D6E"/>
    <w:rsid w:val="00CF1399"/>
    <w:rsid w:val="00D06677"/>
    <w:rsid w:val="00D11D68"/>
    <w:rsid w:val="00D1313D"/>
    <w:rsid w:val="00D13CEE"/>
    <w:rsid w:val="00D2162D"/>
    <w:rsid w:val="00D25E6C"/>
    <w:rsid w:val="00D3249A"/>
    <w:rsid w:val="00D350CF"/>
    <w:rsid w:val="00D35C8C"/>
    <w:rsid w:val="00D42DC8"/>
    <w:rsid w:val="00D54A94"/>
    <w:rsid w:val="00D54E11"/>
    <w:rsid w:val="00D602EA"/>
    <w:rsid w:val="00D6529C"/>
    <w:rsid w:val="00D653B1"/>
    <w:rsid w:val="00D663F5"/>
    <w:rsid w:val="00D67405"/>
    <w:rsid w:val="00D7407A"/>
    <w:rsid w:val="00DA371E"/>
    <w:rsid w:val="00DA5975"/>
    <w:rsid w:val="00DB4A5E"/>
    <w:rsid w:val="00DB6D74"/>
    <w:rsid w:val="00DC257C"/>
    <w:rsid w:val="00DC3826"/>
    <w:rsid w:val="00DC7A29"/>
    <w:rsid w:val="00DD107C"/>
    <w:rsid w:val="00DD1129"/>
    <w:rsid w:val="00DD7B7E"/>
    <w:rsid w:val="00DE02E5"/>
    <w:rsid w:val="00DE2419"/>
    <w:rsid w:val="00DE3E70"/>
    <w:rsid w:val="00DE4B38"/>
    <w:rsid w:val="00DF0B6A"/>
    <w:rsid w:val="00DF2C1B"/>
    <w:rsid w:val="00DF3A64"/>
    <w:rsid w:val="00DF4C01"/>
    <w:rsid w:val="00DF6F78"/>
    <w:rsid w:val="00DF7C36"/>
    <w:rsid w:val="00E10EE4"/>
    <w:rsid w:val="00E40367"/>
    <w:rsid w:val="00E4368F"/>
    <w:rsid w:val="00E46222"/>
    <w:rsid w:val="00E46B00"/>
    <w:rsid w:val="00E47D41"/>
    <w:rsid w:val="00E73070"/>
    <w:rsid w:val="00E76FF8"/>
    <w:rsid w:val="00E81D06"/>
    <w:rsid w:val="00E911C5"/>
    <w:rsid w:val="00E96067"/>
    <w:rsid w:val="00EA167A"/>
    <w:rsid w:val="00EA1A32"/>
    <w:rsid w:val="00EA5D57"/>
    <w:rsid w:val="00EB2E9A"/>
    <w:rsid w:val="00EB70AB"/>
    <w:rsid w:val="00EC51B7"/>
    <w:rsid w:val="00EC7689"/>
    <w:rsid w:val="00EE2628"/>
    <w:rsid w:val="00EF091C"/>
    <w:rsid w:val="00F17041"/>
    <w:rsid w:val="00F24D4E"/>
    <w:rsid w:val="00F25512"/>
    <w:rsid w:val="00F32AA3"/>
    <w:rsid w:val="00F40C33"/>
    <w:rsid w:val="00F425D4"/>
    <w:rsid w:val="00F42C48"/>
    <w:rsid w:val="00F50348"/>
    <w:rsid w:val="00F576C7"/>
    <w:rsid w:val="00F65C95"/>
    <w:rsid w:val="00F72081"/>
    <w:rsid w:val="00F82B5B"/>
    <w:rsid w:val="00F97586"/>
    <w:rsid w:val="00FA2F94"/>
    <w:rsid w:val="00FB447E"/>
    <w:rsid w:val="00FC4EBA"/>
    <w:rsid w:val="00FC64D0"/>
    <w:rsid w:val="00FD2EFD"/>
    <w:rsid w:val="00FD69DA"/>
    <w:rsid w:val="00FF68EE"/>
    <w:rsid w:val="010C543D"/>
    <w:rsid w:val="02792F9B"/>
    <w:rsid w:val="02EE6298"/>
    <w:rsid w:val="03157EE1"/>
    <w:rsid w:val="046B3380"/>
    <w:rsid w:val="047515B3"/>
    <w:rsid w:val="04DA061F"/>
    <w:rsid w:val="05282A26"/>
    <w:rsid w:val="05D61374"/>
    <w:rsid w:val="05DE7F94"/>
    <w:rsid w:val="060B5E44"/>
    <w:rsid w:val="0699289A"/>
    <w:rsid w:val="06CF280B"/>
    <w:rsid w:val="07262F42"/>
    <w:rsid w:val="074000EE"/>
    <w:rsid w:val="074E3384"/>
    <w:rsid w:val="08736AE3"/>
    <w:rsid w:val="08AA16F5"/>
    <w:rsid w:val="08E9215E"/>
    <w:rsid w:val="09744731"/>
    <w:rsid w:val="0AD443DF"/>
    <w:rsid w:val="0AE104AB"/>
    <w:rsid w:val="0AF33399"/>
    <w:rsid w:val="0B4247C1"/>
    <w:rsid w:val="0B85598D"/>
    <w:rsid w:val="0B861462"/>
    <w:rsid w:val="0B8A09A4"/>
    <w:rsid w:val="0DE8360C"/>
    <w:rsid w:val="0E84307D"/>
    <w:rsid w:val="0E8E3087"/>
    <w:rsid w:val="0EE4035C"/>
    <w:rsid w:val="0F2E1E8F"/>
    <w:rsid w:val="0FA12302"/>
    <w:rsid w:val="1098410F"/>
    <w:rsid w:val="10A2201E"/>
    <w:rsid w:val="10BC5E37"/>
    <w:rsid w:val="10BD10AE"/>
    <w:rsid w:val="110A0458"/>
    <w:rsid w:val="126950D1"/>
    <w:rsid w:val="127077B2"/>
    <w:rsid w:val="127A5A84"/>
    <w:rsid w:val="12864734"/>
    <w:rsid w:val="13182FC8"/>
    <w:rsid w:val="1331496B"/>
    <w:rsid w:val="13BD2E28"/>
    <w:rsid w:val="13C61B7D"/>
    <w:rsid w:val="143052CB"/>
    <w:rsid w:val="150823BE"/>
    <w:rsid w:val="15A858C2"/>
    <w:rsid w:val="164C37DC"/>
    <w:rsid w:val="165F25C5"/>
    <w:rsid w:val="165F49D8"/>
    <w:rsid w:val="16D5133F"/>
    <w:rsid w:val="16DC594F"/>
    <w:rsid w:val="16EB4A67"/>
    <w:rsid w:val="170B781F"/>
    <w:rsid w:val="17E94C62"/>
    <w:rsid w:val="18C23CE3"/>
    <w:rsid w:val="18C82A38"/>
    <w:rsid w:val="19036716"/>
    <w:rsid w:val="191762F9"/>
    <w:rsid w:val="199F5B16"/>
    <w:rsid w:val="19C967AD"/>
    <w:rsid w:val="1AD21A56"/>
    <w:rsid w:val="1C0523E9"/>
    <w:rsid w:val="1CB316CF"/>
    <w:rsid w:val="1DED769B"/>
    <w:rsid w:val="1E2536DA"/>
    <w:rsid w:val="1E830353"/>
    <w:rsid w:val="1FAC58F3"/>
    <w:rsid w:val="1FB45CC1"/>
    <w:rsid w:val="1FD11DA2"/>
    <w:rsid w:val="200E02CB"/>
    <w:rsid w:val="209C5C91"/>
    <w:rsid w:val="209D6A16"/>
    <w:rsid w:val="20AA3662"/>
    <w:rsid w:val="21A24BB8"/>
    <w:rsid w:val="21B13FD7"/>
    <w:rsid w:val="228B4537"/>
    <w:rsid w:val="22F45509"/>
    <w:rsid w:val="23AA5307"/>
    <w:rsid w:val="23E8671F"/>
    <w:rsid w:val="24120373"/>
    <w:rsid w:val="24771563"/>
    <w:rsid w:val="24E3524E"/>
    <w:rsid w:val="252736EF"/>
    <w:rsid w:val="25813A7E"/>
    <w:rsid w:val="25A437BB"/>
    <w:rsid w:val="25DA2E95"/>
    <w:rsid w:val="260521B6"/>
    <w:rsid w:val="269A666B"/>
    <w:rsid w:val="279204F1"/>
    <w:rsid w:val="279F2D3F"/>
    <w:rsid w:val="291E49C7"/>
    <w:rsid w:val="295A2EF7"/>
    <w:rsid w:val="296F5DD0"/>
    <w:rsid w:val="2A266B9B"/>
    <w:rsid w:val="2A2C4571"/>
    <w:rsid w:val="2A8D23BD"/>
    <w:rsid w:val="2AF83F7F"/>
    <w:rsid w:val="2BD66EF1"/>
    <w:rsid w:val="2C185601"/>
    <w:rsid w:val="2C2E1854"/>
    <w:rsid w:val="2C2E1DD2"/>
    <w:rsid w:val="2C3A177E"/>
    <w:rsid w:val="2DEC5C5F"/>
    <w:rsid w:val="2E1E7ED1"/>
    <w:rsid w:val="2ED91824"/>
    <w:rsid w:val="2EFA3CF3"/>
    <w:rsid w:val="2F102DA7"/>
    <w:rsid w:val="2F6F7779"/>
    <w:rsid w:val="2F773072"/>
    <w:rsid w:val="2F7B3F3E"/>
    <w:rsid w:val="30C13076"/>
    <w:rsid w:val="31054754"/>
    <w:rsid w:val="31B05648"/>
    <w:rsid w:val="31E33F00"/>
    <w:rsid w:val="31FB27D7"/>
    <w:rsid w:val="32281128"/>
    <w:rsid w:val="32626C61"/>
    <w:rsid w:val="32A02C6A"/>
    <w:rsid w:val="34124EB2"/>
    <w:rsid w:val="3430030F"/>
    <w:rsid w:val="34421C31"/>
    <w:rsid w:val="34CE02D3"/>
    <w:rsid w:val="350A2E4E"/>
    <w:rsid w:val="3513710C"/>
    <w:rsid w:val="35B64254"/>
    <w:rsid w:val="35D12373"/>
    <w:rsid w:val="36424D84"/>
    <w:rsid w:val="365BD5D2"/>
    <w:rsid w:val="36737C0F"/>
    <w:rsid w:val="3687025F"/>
    <w:rsid w:val="36EA5B6E"/>
    <w:rsid w:val="37842E2D"/>
    <w:rsid w:val="379A0D50"/>
    <w:rsid w:val="37A93457"/>
    <w:rsid w:val="387C6C93"/>
    <w:rsid w:val="38D00CC5"/>
    <w:rsid w:val="395F7102"/>
    <w:rsid w:val="39632B3D"/>
    <w:rsid w:val="39E43912"/>
    <w:rsid w:val="3A021F49"/>
    <w:rsid w:val="3A18210B"/>
    <w:rsid w:val="3AE1361D"/>
    <w:rsid w:val="3AFB1BD5"/>
    <w:rsid w:val="3B914DE4"/>
    <w:rsid w:val="3C370D5C"/>
    <w:rsid w:val="3CE70A72"/>
    <w:rsid w:val="3D3E654E"/>
    <w:rsid w:val="3D642AD9"/>
    <w:rsid w:val="3D8362BC"/>
    <w:rsid w:val="3DDE1ABF"/>
    <w:rsid w:val="3DEFB1D1"/>
    <w:rsid w:val="3E762A85"/>
    <w:rsid w:val="3E7E3208"/>
    <w:rsid w:val="3E9E4B5F"/>
    <w:rsid w:val="3EBD1872"/>
    <w:rsid w:val="3F0C5C23"/>
    <w:rsid w:val="3F464A73"/>
    <w:rsid w:val="3F4C6ABE"/>
    <w:rsid w:val="3F6301F5"/>
    <w:rsid w:val="3F6A0974"/>
    <w:rsid w:val="3F6E0848"/>
    <w:rsid w:val="3F745407"/>
    <w:rsid w:val="3FEF0CDE"/>
    <w:rsid w:val="40084497"/>
    <w:rsid w:val="404F2557"/>
    <w:rsid w:val="40F110A5"/>
    <w:rsid w:val="410119D6"/>
    <w:rsid w:val="42952DFF"/>
    <w:rsid w:val="42EB51C1"/>
    <w:rsid w:val="42F34EBD"/>
    <w:rsid w:val="43517C24"/>
    <w:rsid w:val="43B71DFF"/>
    <w:rsid w:val="44B62CB8"/>
    <w:rsid w:val="451E6825"/>
    <w:rsid w:val="46581115"/>
    <w:rsid w:val="466711E5"/>
    <w:rsid w:val="468E0519"/>
    <w:rsid w:val="46AC70C8"/>
    <w:rsid w:val="46C56654"/>
    <w:rsid w:val="46D90ABE"/>
    <w:rsid w:val="46DF5AB8"/>
    <w:rsid w:val="46F84B92"/>
    <w:rsid w:val="473DB1C4"/>
    <w:rsid w:val="4753720A"/>
    <w:rsid w:val="47A7BC02"/>
    <w:rsid w:val="47B57B96"/>
    <w:rsid w:val="47DF1FD2"/>
    <w:rsid w:val="47FB1D49"/>
    <w:rsid w:val="484E49CF"/>
    <w:rsid w:val="4900058E"/>
    <w:rsid w:val="49381071"/>
    <w:rsid w:val="4AEC406E"/>
    <w:rsid w:val="4B146099"/>
    <w:rsid w:val="4B404981"/>
    <w:rsid w:val="4B860C50"/>
    <w:rsid w:val="4BC71F55"/>
    <w:rsid w:val="4C9E3B7A"/>
    <w:rsid w:val="4CCE0B6D"/>
    <w:rsid w:val="4D0C28C4"/>
    <w:rsid w:val="4DAB0294"/>
    <w:rsid w:val="4DFD3445"/>
    <w:rsid w:val="4E1D1867"/>
    <w:rsid w:val="4EAC4DA6"/>
    <w:rsid w:val="4F005565"/>
    <w:rsid w:val="4F0E144F"/>
    <w:rsid w:val="4F1E59C0"/>
    <w:rsid w:val="4F485FC3"/>
    <w:rsid w:val="4F6D618B"/>
    <w:rsid w:val="4F862056"/>
    <w:rsid w:val="4FBC1456"/>
    <w:rsid w:val="50390F66"/>
    <w:rsid w:val="51381AC1"/>
    <w:rsid w:val="51762AEE"/>
    <w:rsid w:val="518219C7"/>
    <w:rsid w:val="51CA2669"/>
    <w:rsid w:val="52D010DE"/>
    <w:rsid w:val="530C0B1B"/>
    <w:rsid w:val="5331675D"/>
    <w:rsid w:val="54032BE8"/>
    <w:rsid w:val="540551DE"/>
    <w:rsid w:val="543D1CD8"/>
    <w:rsid w:val="54D13EBC"/>
    <w:rsid w:val="54E60C06"/>
    <w:rsid w:val="54F16BC9"/>
    <w:rsid w:val="55765982"/>
    <w:rsid w:val="558A1E61"/>
    <w:rsid w:val="55C975BB"/>
    <w:rsid w:val="55FC2D0F"/>
    <w:rsid w:val="56160AC4"/>
    <w:rsid w:val="56C440E6"/>
    <w:rsid w:val="572B04AD"/>
    <w:rsid w:val="5860672D"/>
    <w:rsid w:val="586734D3"/>
    <w:rsid w:val="58F93FE8"/>
    <w:rsid w:val="593E3406"/>
    <w:rsid w:val="59633A07"/>
    <w:rsid w:val="59746691"/>
    <w:rsid w:val="597773A5"/>
    <w:rsid w:val="597A3ED7"/>
    <w:rsid w:val="5A0F7CF9"/>
    <w:rsid w:val="5AE43CC5"/>
    <w:rsid w:val="5BEB3EF2"/>
    <w:rsid w:val="5BFB4188"/>
    <w:rsid w:val="5C487C78"/>
    <w:rsid w:val="5CA07A97"/>
    <w:rsid w:val="5D043384"/>
    <w:rsid w:val="5D1C01AF"/>
    <w:rsid w:val="5D2D5D9D"/>
    <w:rsid w:val="5D8A6083"/>
    <w:rsid w:val="5DCE58F2"/>
    <w:rsid w:val="5DD62357"/>
    <w:rsid w:val="5E6A56B6"/>
    <w:rsid w:val="5E7303CB"/>
    <w:rsid w:val="603863F0"/>
    <w:rsid w:val="605849BF"/>
    <w:rsid w:val="60892F41"/>
    <w:rsid w:val="609A12F1"/>
    <w:rsid w:val="60A364E6"/>
    <w:rsid w:val="60DB2B68"/>
    <w:rsid w:val="6113030D"/>
    <w:rsid w:val="61BA031A"/>
    <w:rsid w:val="61C7423C"/>
    <w:rsid w:val="629114D1"/>
    <w:rsid w:val="633F71E8"/>
    <w:rsid w:val="634D2A75"/>
    <w:rsid w:val="63B71897"/>
    <w:rsid w:val="64207CFD"/>
    <w:rsid w:val="64900D6E"/>
    <w:rsid w:val="64A66197"/>
    <w:rsid w:val="64ED16D9"/>
    <w:rsid w:val="64F62DB2"/>
    <w:rsid w:val="65FBE2E4"/>
    <w:rsid w:val="66033A7B"/>
    <w:rsid w:val="660F4AC4"/>
    <w:rsid w:val="66683674"/>
    <w:rsid w:val="66C60E3F"/>
    <w:rsid w:val="66EB60E9"/>
    <w:rsid w:val="673E2190"/>
    <w:rsid w:val="676B0588"/>
    <w:rsid w:val="67721777"/>
    <w:rsid w:val="68324798"/>
    <w:rsid w:val="68652D73"/>
    <w:rsid w:val="68653B68"/>
    <w:rsid w:val="68B8655E"/>
    <w:rsid w:val="69A31BE4"/>
    <w:rsid w:val="6A3416A8"/>
    <w:rsid w:val="6C6A7869"/>
    <w:rsid w:val="6C8E589F"/>
    <w:rsid w:val="6D9B158F"/>
    <w:rsid w:val="6DFBC636"/>
    <w:rsid w:val="6EB072A6"/>
    <w:rsid w:val="6EBC18A9"/>
    <w:rsid w:val="6EDCBAAC"/>
    <w:rsid w:val="6EFD5FAC"/>
    <w:rsid w:val="6F0C2711"/>
    <w:rsid w:val="6F6E4FAC"/>
    <w:rsid w:val="6F890B1A"/>
    <w:rsid w:val="70C269D0"/>
    <w:rsid w:val="710B074B"/>
    <w:rsid w:val="710D6FDF"/>
    <w:rsid w:val="71283836"/>
    <w:rsid w:val="717405BF"/>
    <w:rsid w:val="71AF49AC"/>
    <w:rsid w:val="71E906CF"/>
    <w:rsid w:val="728672AA"/>
    <w:rsid w:val="72921A13"/>
    <w:rsid w:val="72CF4806"/>
    <w:rsid w:val="72E15C68"/>
    <w:rsid w:val="73843BC3"/>
    <w:rsid w:val="7389665F"/>
    <w:rsid w:val="73A31DEF"/>
    <w:rsid w:val="73C30951"/>
    <w:rsid w:val="73ED207C"/>
    <w:rsid w:val="74705357"/>
    <w:rsid w:val="748638E0"/>
    <w:rsid w:val="74D20C18"/>
    <w:rsid w:val="74D74B52"/>
    <w:rsid w:val="75487AC7"/>
    <w:rsid w:val="755B6C00"/>
    <w:rsid w:val="757535C5"/>
    <w:rsid w:val="75EF1079"/>
    <w:rsid w:val="75FF9075"/>
    <w:rsid w:val="76755F27"/>
    <w:rsid w:val="76DF419E"/>
    <w:rsid w:val="77330628"/>
    <w:rsid w:val="77E85332"/>
    <w:rsid w:val="77EF7E4A"/>
    <w:rsid w:val="78F71711"/>
    <w:rsid w:val="793D711A"/>
    <w:rsid w:val="797E7615"/>
    <w:rsid w:val="798B0C07"/>
    <w:rsid w:val="79E97DC5"/>
    <w:rsid w:val="7A2E4471"/>
    <w:rsid w:val="7AA96446"/>
    <w:rsid w:val="7AFECD49"/>
    <w:rsid w:val="7B095625"/>
    <w:rsid w:val="7B390A72"/>
    <w:rsid w:val="7BEB3250"/>
    <w:rsid w:val="7C6018CD"/>
    <w:rsid w:val="7C907B6C"/>
    <w:rsid w:val="7CA2186F"/>
    <w:rsid w:val="7D8A3FB2"/>
    <w:rsid w:val="7DF01A9A"/>
    <w:rsid w:val="7DF3C2CE"/>
    <w:rsid w:val="7E100BD1"/>
    <w:rsid w:val="7EB46EDF"/>
    <w:rsid w:val="7ECD4EFC"/>
    <w:rsid w:val="7EF65D82"/>
    <w:rsid w:val="7F6645BA"/>
    <w:rsid w:val="7F9B5113"/>
    <w:rsid w:val="7FBF0714"/>
    <w:rsid w:val="7FD674AB"/>
    <w:rsid w:val="7FF70585"/>
    <w:rsid w:val="7FFC5801"/>
    <w:rsid w:val="7FFCACAA"/>
    <w:rsid w:val="977F6C97"/>
    <w:rsid w:val="9ADB649F"/>
    <w:rsid w:val="9F565DFC"/>
    <w:rsid w:val="9FEE613C"/>
    <w:rsid w:val="A5FC694F"/>
    <w:rsid w:val="AB7F3A2D"/>
    <w:rsid w:val="B7B7902F"/>
    <w:rsid w:val="BA7B23C6"/>
    <w:rsid w:val="BE697141"/>
    <w:rsid w:val="BEE9E2F6"/>
    <w:rsid w:val="BEEFC7B8"/>
    <w:rsid w:val="BEF81A75"/>
    <w:rsid w:val="BFEB855C"/>
    <w:rsid w:val="CB9FC061"/>
    <w:rsid w:val="CCAAA708"/>
    <w:rsid w:val="CECF1976"/>
    <w:rsid w:val="D4F2E435"/>
    <w:rsid w:val="D6F98EEA"/>
    <w:rsid w:val="D7A5B58B"/>
    <w:rsid w:val="DA7C925B"/>
    <w:rsid w:val="DAFA1E7F"/>
    <w:rsid w:val="DDF7D4C2"/>
    <w:rsid w:val="DDFF5CED"/>
    <w:rsid w:val="DF7F304B"/>
    <w:rsid w:val="DF92CF85"/>
    <w:rsid w:val="DFBE6F4A"/>
    <w:rsid w:val="EE794DA9"/>
    <w:rsid w:val="F370D067"/>
    <w:rsid w:val="F3FC03C6"/>
    <w:rsid w:val="F537D3B6"/>
    <w:rsid w:val="F8FD9471"/>
    <w:rsid w:val="F97F2DC8"/>
    <w:rsid w:val="F9EFDA14"/>
    <w:rsid w:val="FB9F91A8"/>
    <w:rsid w:val="FCAF8F72"/>
    <w:rsid w:val="FDDFE96E"/>
    <w:rsid w:val="FEC50724"/>
    <w:rsid w:val="FEFFD8EA"/>
    <w:rsid w:val="FF37604C"/>
    <w:rsid w:val="FF830510"/>
    <w:rsid w:val="FF9A2C9A"/>
    <w:rsid w:val="FFCB7E91"/>
    <w:rsid w:val="FFCF2B98"/>
    <w:rsid w:val="FFD7D923"/>
    <w:rsid w:val="FFDB58E8"/>
    <w:rsid w:val="FFEF1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Calibri" w:hAnsi="Calibri" w:eastAsia="华康简标题宋"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next w:val="4"/>
    <w:link w:val="28"/>
    <w:qFormat/>
    <w:uiPriority w:val="0"/>
    <w:pPr>
      <w:spacing w:line="240" w:lineRule="auto"/>
      <w:ind w:firstLine="645"/>
    </w:pPr>
    <w:rPr>
      <w:rFonts w:ascii="仿宋_GB2312"/>
      <w:b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7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kern w:val="10"/>
      <w:sz w:val="21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3"/>
    <w:basedOn w:val="1"/>
    <w:qFormat/>
    <w:uiPriority w:val="0"/>
    <w:pPr>
      <w:jc w:val="left"/>
    </w:pPr>
    <w:rPr>
      <w:rFonts w:ascii="仿宋_GB2312"/>
      <w:color w:val="000000"/>
      <w:sz w:val="28"/>
    </w:rPr>
  </w:style>
  <w:style w:type="paragraph" w:styleId="11">
    <w:name w:val="Body Text"/>
    <w:basedOn w:val="1"/>
    <w:qFormat/>
    <w:uiPriority w:val="0"/>
    <w:pPr>
      <w:spacing w:line="240" w:lineRule="auto"/>
    </w:pPr>
    <w:rPr>
      <w:rFonts w:eastAsia="宋体"/>
      <w:sz w:val="30"/>
      <w:szCs w:val="24"/>
    </w:rPr>
  </w:style>
  <w:style w:type="paragraph" w:styleId="12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仿宋_GB2312"/>
      <w:sz w:val="30"/>
      <w:szCs w:val="24"/>
    </w:rPr>
  </w:style>
  <w:style w:type="paragraph" w:styleId="14">
    <w:name w:val="Body Text Indent 2"/>
    <w:basedOn w:val="1"/>
    <w:qFormat/>
    <w:uiPriority w:val="0"/>
    <w:pPr>
      <w:spacing w:line="240" w:lineRule="auto"/>
      <w:ind w:right="384" w:rightChars="183" w:firstLine="637" w:firstLineChars="199"/>
    </w:pPr>
    <w:rPr>
      <w:szCs w:val="24"/>
    </w:rPr>
  </w:style>
  <w:style w:type="paragraph" w:styleId="15">
    <w:name w:val="Balloon Text"/>
    <w:basedOn w:val="1"/>
    <w:semiHidden/>
    <w:qFormat/>
    <w:uiPriority w:val="0"/>
    <w:pPr>
      <w:spacing w:line="240" w:lineRule="auto"/>
    </w:pPr>
    <w:rPr>
      <w:rFonts w:eastAsia="宋体"/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line="240" w:lineRule="auto"/>
      <w:ind w:firstLine="480" w:firstLineChars="200"/>
    </w:pPr>
    <w:rPr>
      <w:rFonts w:eastAsia="宋体"/>
      <w:sz w:val="24"/>
    </w:rPr>
  </w:style>
  <w:style w:type="paragraph" w:styleId="18">
    <w:name w:val="Body Text 2"/>
    <w:basedOn w:val="1"/>
    <w:qFormat/>
    <w:uiPriority w:val="0"/>
    <w:pPr>
      <w:jc w:val="center"/>
    </w:pPr>
    <w:rPr>
      <w:rFonts w:ascii="华康简标题宋" w:eastAsia="华康简标题宋"/>
      <w:sz w:val="44"/>
    </w:rPr>
  </w:style>
  <w:style w:type="paragraph" w:styleId="1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黑体" w:hAnsi="Courier New" w:eastAsia="黑体" w:cs="Courier New"/>
      <w:kern w:val="0"/>
      <w:sz w:val="20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</w:rPr>
  </w:style>
  <w:style w:type="paragraph" w:styleId="21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table" w:styleId="23">
    <w:name w:val="Table Grid"/>
    <w:basedOn w:val="2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0"/>
    <w:rPr>
      <w:b/>
    </w:rPr>
  </w:style>
  <w:style w:type="character" w:styleId="26">
    <w:name w:val="page number"/>
    <w:qFormat/>
    <w:uiPriority w:val="0"/>
  </w:style>
  <w:style w:type="character" w:styleId="27">
    <w:name w:val="Hyperlink"/>
    <w:qFormat/>
    <w:uiPriority w:val="0"/>
    <w:rPr>
      <w:color w:val="0000FF"/>
      <w:u w:val="single"/>
    </w:rPr>
  </w:style>
  <w:style w:type="character" w:customStyle="1" w:styleId="28">
    <w:name w:val="正文文本缩进 Char"/>
    <w:link w:val="3"/>
    <w:qFormat/>
    <w:uiPriority w:val="0"/>
    <w:rPr>
      <w:rFonts w:ascii="仿宋_GB2312" w:eastAsia="仿宋_GB2312"/>
      <w:b/>
      <w:kern w:val="2"/>
      <w:sz w:val="32"/>
      <w:lang w:val="en-US" w:eastAsia="zh-CN" w:bidi="ar-SA"/>
    </w:rPr>
  </w:style>
  <w:style w:type="character" w:customStyle="1" w:styleId="29">
    <w:name w:val="zt5"/>
    <w:qFormat/>
    <w:uiPriority w:val="0"/>
  </w:style>
  <w:style w:type="character" w:customStyle="1" w:styleId="30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3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lang w:eastAsia="en-US"/>
    </w:rPr>
  </w:style>
  <w:style w:type="paragraph" w:customStyle="1" w:styleId="32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33">
    <w:name w:val="第二层"/>
    <w:basedOn w:val="1"/>
    <w:qFormat/>
    <w:uiPriority w:val="0"/>
    <w:pPr>
      <w:spacing w:line="240" w:lineRule="auto"/>
    </w:pPr>
    <w:rPr>
      <w:rFonts w:ascii="宋体" w:hAnsi="宋体" w:eastAsia="黑体" w:cs="宋体"/>
      <w:sz w:val="28"/>
      <w:szCs w:val="28"/>
    </w:rPr>
  </w:style>
  <w:style w:type="paragraph" w:customStyle="1" w:styleId="34">
    <w:name w:val="xl24"/>
    <w:basedOn w:val="1"/>
    <w:qFormat/>
    <w:uiPriority w:val="0"/>
    <w:pPr>
      <w:widowControl/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kern w:val="0"/>
      <w:sz w:val="40"/>
      <w:szCs w:val="40"/>
    </w:rPr>
  </w:style>
  <w:style w:type="paragraph" w:customStyle="1" w:styleId="3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4"/>
      <w:szCs w:val="24"/>
    </w:rPr>
  </w:style>
  <w:style w:type="paragraph" w:customStyle="1" w:styleId="36">
    <w:name w:val="xl4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2"/>
      <w:szCs w:val="22"/>
    </w:rPr>
  </w:style>
  <w:style w:type="paragraph" w:customStyle="1" w:styleId="3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38">
    <w:name w:val="xl34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39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kern w:val="0"/>
      <w:sz w:val="24"/>
      <w:szCs w:val="24"/>
    </w:rPr>
  </w:style>
  <w:style w:type="paragraph" w:customStyle="1" w:styleId="40">
    <w:name w:val=" Char1 Char Char Char"/>
    <w:basedOn w:val="1"/>
    <w:qFormat/>
    <w:uiPriority w:val="0"/>
    <w:rPr>
      <w:sz w:val="30"/>
      <w:szCs w:val="24"/>
    </w:rPr>
  </w:style>
  <w:style w:type="paragraph" w:customStyle="1" w:styleId="41">
    <w:name w:val="Char1 Char Char Char Char Char Char"/>
    <w:basedOn w:val="1"/>
    <w:qFormat/>
    <w:uiPriority w:val="0"/>
    <w:pPr>
      <w:spacing w:line="240" w:lineRule="auto"/>
    </w:pPr>
    <w:rPr>
      <w:rFonts w:ascii="Tahoma" w:hAnsi="Tahoma" w:eastAsia="宋体"/>
      <w:sz w:val="24"/>
    </w:rPr>
  </w:style>
  <w:style w:type="paragraph" w:customStyle="1" w:styleId="42">
    <w:name w:val="xl33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2"/>
      <w:szCs w:val="22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44">
    <w:name w:val="xl39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hint="eastAsia" w:ascii="仿宋_GB2312" w:hAnsi="宋体"/>
      <w:b/>
      <w:bCs/>
      <w:kern w:val="0"/>
      <w:sz w:val="40"/>
      <w:szCs w:val="40"/>
    </w:rPr>
  </w:style>
  <w:style w:type="paragraph" w:customStyle="1" w:styleId="45">
    <w:name w:val="xl35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hAnsi="宋体" w:eastAsia="宋体"/>
      <w:kern w:val="0"/>
      <w:sz w:val="22"/>
      <w:szCs w:val="22"/>
    </w:rPr>
  </w:style>
  <w:style w:type="paragraph" w:customStyle="1" w:styleId="46">
    <w:name w:val="p0"/>
    <w:basedOn w:val="1"/>
    <w:qFormat/>
    <w:uiPriority w:val="0"/>
    <w:pPr>
      <w:widowControl/>
      <w:spacing w:line="580" w:lineRule="atLeast"/>
    </w:pPr>
    <w:rPr>
      <w:rFonts w:eastAsia="宋体"/>
      <w:kern w:val="0"/>
      <w:szCs w:val="32"/>
    </w:rPr>
  </w:style>
  <w:style w:type="paragraph" w:customStyle="1" w:styleId="47">
    <w:name w:val="xl3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4"/>
      <w:szCs w:val="24"/>
    </w:rPr>
  </w:style>
  <w:style w:type="paragraph" w:customStyle="1" w:styleId="48">
    <w:name w:val="font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2"/>
      <w:szCs w:val="22"/>
    </w:rPr>
  </w:style>
  <w:style w:type="paragraph" w:customStyle="1" w:styleId="49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kern w:val="0"/>
      <w:sz w:val="24"/>
      <w:szCs w:val="24"/>
    </w:rPr>
  </w:style>
  <w:style w:type="paragraph" w:customStyle="1" w:styleId="50">
    <w:name w:val=" Char"/>
    <w:basedOn w:val="8"/>
    <w:qFormat/>
    <w:uiPriority w:val="0"/>
    <w:pPr>
      <w:spacing w:line="240" w:lineRule="auto"/>
    </w:pPr>
    <w:rPr>
      <w:rFonts w:ascii="Tahoma" w:hAnsi="Tahoma" w:eastAsia="宋体"/>
      <w:sz w:val="24"/>
      <w:szCs w:val="24"/>
    </w:rPr>
  </w:style>
  <w:style w:type="paragraph" w:customStyle="1" w:styleId="51">
    <w:name w:val="xl37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hint="eastAsia" w:ascii="仿宋_GB2312" w:hAnsi="宋体"/>
      <w:kern w:val="0"/>
      <w:sz w:val="22"/>
      <w:szCs w:val="22"/>
    </w:rPr>
  </w:style>
  <w:style w:type="paragraph" w:customStyle="1" w:styleId="5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kern w:val="0"/>
      <w:sz w:val="24"/>
      <w:szCs w:val="24"/>
    </w:rPr>
  </w:style>
  <w:style w:type="paragraph" w:customStyle="1" w:styleId="53">
    <w:name w:val="xl29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4"/>
      <w:szCs w:val="24"/>
    </w:rPr>
  </w:style>
  <w:style w:type="paragraph" w:customStyle="1" w:styleId="54">
    <w:name w:val="xl3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55">
    <w:name w:val="xl32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top"/>
    </w:pPr>
    <w:rPr>
      <w:rFonts w:hint="eastAsia" w:ascii="仿宋_GB2312" w:hAnsi="宋体"/>
      <w:kern w:val="0"/>
      <w:sz w:val="22"/>
      <w:szCs w:val="22"/>
    </w:rPr>
  </w:style>
  <w:style w:type="paragraph" w:customStyle="1" w:styleId="56">
    <w:name w:val="xl38"/>
    <w:basedOn w:val="1"/>
    <w:qFormat/>
    <w:uiPriority w:val="0"/>
    <w:pPr>
      <w:widowControl/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b/>
      <w:bCs/>
      <w:kern w:val="0"/>
      <w:sz w:val="40"/>
      <w:szCs w:val="40"/>
    </w:rPr>
  </w:style>
  <w:style w:type="paragraph" w:customStyle="1" w:styleId="57">
    <w:name w:val="样式 (中文) 楷体_GB2312 小三 首行缩进:  0.79 厘米 行距: 固定值 28 磅"/>
    <w:basedOn w:val="1"/>
    <w:qFormat/>
    <w:uiPriority w:val="0"/>
    <w:pPr>
      <w:spacing w:line="560" w:lineRule="exact"/>
      <w:ind w:firstLine="450"/>
    </w:pPr>
    <w:rPr>
      <w:rFonts w:eastAsia="楷体_GB2312"/>
    </w:rPr>
  </w:style>
  <w:style w:type="paragraph" w:customStyle="1" w:styleId="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hint="eastAsia" w:ascii="仿宋_GB2312" w:hAnsi="宋体"/>
      <w:kern w:val="0"/>
      <w:sz w:val="24"/>
      <w:szCs w:val="24"/>
    </w:rPr>
  </w:style>
  <w:style w:type="paragraph" w:customStyle="1" w:styleId="59">
    <w:name w:val="xl26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hint="eastAsia" w:ascii="仿宋_GB2312" w:hAnsi="宋体"/>
      <w:kern w:val="0"/>
      <w:sz w:val="40"/>
      <w:szCs w:val="40"/>
    </w:rPr>
  </w:style>
  <w:style w:type="paragraph" w:customStyle="1" w:styleId="60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宋体"/>
      <w:kern w:val="0"/>
      <w:sz w:val="22"/>
      <w:szCs w:val="22"/>
    </w:rPr>
  </w:style>
  <w:style w:type="paragraph" w:customStyle="1" w:styleId="61">
    <w:name w:val="xl2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2"/>
      <w:szCs w:val="22"/>
    </w:rPr>
  </w:style>
  <w:style w:type="paragraph" w:customStyle="1" w:styleId="62">
    <w:name w:val="Char"/>
    <w:basedOn w:val="8"/>
    <w:qFormat/>
    <w:uiPriority w:val="0"/>
    <w:pPr>
      <w:spacing w:line="240" w:lineRule="auto"/>
    </w:pPr>
    <w:rPr>
      <w:rFonts w:ascii="Tahoma" w:hAnsi="Tahoma" w:eastAsia="宋体"/>
      <w:sz w:val="24"/>
      <w:szCs w:val="24"/>
    </w:rPr>
  </w:style>
  <w:style w:type="paragraph" w:customStyle="1" w:styleId="63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宋体" w:hAnsi="宋体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720</Words>
  <Characters>4105</Characters>
  <Lines>34</Lines>
  <Paragraphs>9</Paragraphs>
  <TotalTime>48</TotalTime>
  <ScaleCrop>false</ScaleCrop>
  <LinksUpToDate>false</LinksUpToDate>
  <CharactersWithSpaces>4816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2016-01-21T06:37:00Z</dcterms:created>
  <dc:creator>thtf</dc:creator>
  <cp:lastModifiedBy>chenfang</cp:lastModifiedBy>
  <cp:lastPrinted>2022-08-24T21:17:00Z</cp:lastPrinted>
  <dcterms:modified xsi:type="dcterms:W3CDTF">2022-09-03T07:29:10Z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D10A4AD1F49B4F5C8D44F05EECE2A4EA</vt:lpwstr>
  </property>
</Properties>
</file>